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98E0" w14:textId="77777777" w:rsidR="009013D3" w:rsidRDefault="009013D3" w:rsidP="006D7F15"/>
    <w:p w14:paraId="05CB6B40" w14:textId="77777777" w:rsidR="00C765C7" w:rsidRDefault="00C765C7" w:rsidP="00C765C7">
      <w:pPr>
        <w:pStyle w:val="PCABodyText"/>
      </w:pPr>
    </w:p>
    <w:p w14:paraId="67DE20CF" w14:textId="77777777" w:rsidR="00C765C7" w:rsidRDefault="00C765C7" w:rsidP="00C765C7">
      <w:pPr>
        <w:pStyle w:val="PCABodyText"/>
      </w:pPr>
    </w:p>
    <w:p w14:paraId="4F9D85A2" w14:textId="77777777" w:rsidR="00C765C7" w:rsidRDefault="00C765C7" w:rsidP="00C765C7">
      <w:pPr>
        <w:pStyle w:val="PCABodyText"/>
      </w:pPr>
    </w:p>
    <w:p w14:paraId="691C68EC" w14:textId="77777777" w:rsidR="00C765C7" w:rsidRDefault="00C765C7" w:rsidP="00C765C7">
      <w:pPr>
        <w:pStyle w:val="PCABodyText"/>
      </w:pPr>
    </w:p>
    <w:p w14:paraId="01F2141C" w14:textId="77777777" w:rsidR="00C765C7" w:rsidRDefault="00C765C7" w:rsidP="00C765C7">
      <w:pPr>
        <w:pStyle w:val="PCABodyText"/>
      </w:pPr>
    </w:p>
    <w:p w14:paraId="3EFA18A4" w14:textId="77777777" w:rsidR="00C765C7" w:rsidRDefault="00C765C7" w:rsidP="00C765C7">
      <w:pPr>
        <w:pStyle w:val="PCABodyText"/>
      </w:pPr>
    </w:p>
    <w:p w14:paraId="1B901457" w14:textId="77777777" w:rsidR="00C765C7" w:rsidRDefault="00C765C7" w:rsidP="00C765C7">
      <w:pPr>
        <w:pStyle w:val="PCABodyText"/>
      </w:pPr>
    </w:p>
    <w:p w14:paraId="01690009" w14:textId="77777777" w:rsidR="00C765C7" w:rsidRDefault="00C765C7" w:rsidP="00C765C7">
      <w:pPr>
        <w:pStyle w:val="PCABodyText"/>
      </w:pPr>
    </w:p>
    <w:p w14:paraId="3433161D" w14:textId="77777777" w:rsidR="00C765C7" w:rsidRDefault="00C765C7" w:rsidP="00C765C7">
      <w:pPr>
        <w:pStyle w:val="PCABodyText"/>
      </w:pPr>
    </w:p>
    <w:p w14:paraId="26E41CE5" w14:textId="77777777" w:rsidR="00C765C7" w:rsidRDefault="00C765C7" w:rsidP="00C765C7">
      <w:pPr>
        <w:pStyle w:val="PCABodyText"/>
      </w:pPr>
    </w:p>
    <w:p w14:paraId="183551AD" w14:textId="77777777" w:rsidR="00C765C7" w:rsidRPr="00E0150F" w:rsidRDefault="00C765C7" w:rsidP="00C765C7">
      <w:pPr>
        <w:pStyle w:val="PCASubtitle1"/>
        <w:rPr>
          <w:rFonts w:ascii="Calibri" w:hAnsi="Calibri" w:cs="Calibri"/>
        </w:rPr>
      </w:pPr>
      <w:r w:rsidRPr="00E0150F">
        <w:rPr>
          <w:rFonts w:ascii="Calibri" w:hAnsi="Calibri" w:cs="Calibri"/>
        </w:rPr>
        <w:t>Private Capital Advisers</w:t>
      </w:r>
    </w:p>
    <w:p w14:paraId="508B18D3" w14:textId="77777777" w:rsidR="00C765C7" w:rsidRPr="00E0150F" w:rsidRDefault="00C765C7" w:rsidP="00C765C7">
      <w:pPr>
        <w:pStyle w:val="PCATitle"/>
        <w:rPr>
          <w:rFonts w:cs="Calibri"/>
        </w:rPr>
      </w:pPr>
      <w:r w:rsidRPr="00E0150F">
        <w:rPr>
          <w:rFonts w:cs="Calibri"/>
        </w:rPr>
        <w:t>Financial Services Guide</w:t>
      </w:r>
    </w:p>
    <w:p w14:paraId="034436FA" w14:textId="77777777" w:rsidR="00C765C7" w:rsidRDefault="00C765C7" w:rsidP="00C765C7">
      <w:pPr>
        <w:pStyle w:val="PCASubtitle2"/>
        <w:outlineLvl w:val="0"/>
      </w:pPr>
    </w:p>
    <w:p w14:paraId="6AFDC838" w14:textId="2DAE2BB0" w:rsidR="00C765C7" w:rsidRPr="00895A6A" w:rsidRDefault="00472BDF" w:rsidP="00C765C7">
      <w:pPr>
        <w:pStyle w:val="PCAHeading2"/>
      </w:pPr>
      <w:r>
        <w:t>June</w:t>
      </w:r>
      <w:r w:rsidR="000F523E">
        <w:t xml:space="preserve"> 2022</w:t>
      </w:r>
    </w:p>
    <w:p w14:paraId="24F6FD6A" w14:textId="77777777" w:rsidR="00C765C7" w:rsidRDefault="00C765C7" w:rsidP="00C765C7">
      <w:pPr>
        <w:pStyle w:val="PCABodyText"/>
      </w:pPr>
    </w:p>
    <w:p w14:paraId="326499A9" w14:textId="77777777" w:rsidR="00C765C7" w:rsidRDefault="00C765C7" w:rsidP="00C765C7">
      <w:pPr>
        <w:pStyle w:val="PCABodyText"/>
        <w:sectPr w:rsidR="00C765C7" w:rsidSect="004009F7">
          <w:headerReference w:type="default" r:id="rId11"/>
          <w:footerReference w:type="default" r:id="rId12"/>
          <w:footerReference w:type="first" r:id="rId13"/>
          <w:pgSz w:w="11906" w:h="16838"/>
          <w:pgMar w:top="1134" w:right="1134" w:bottom="1134" w:left="1134" w:header="703" w:footer="708" w:gutter="0"/>
          <w:cols w:space="708"/>
          <w:titlePg/>
          <w:docGrid w:linePitch="360"/>
        </w:sectPr>
      </w:pPr>
    </w:p>
    <w:sdt>
      <w:sdtPr>
        <w:rPr>
          <w:rFonts w:ascii="Calibri" w:eastAsiaTheme="majorEastAsia" w:hAnsi="Calibri" w:cstheme="majorBidi"/>
          <w:b/>
          <w:bCs w:val="0"/>
          <w:sz w:val="22"/>
          <w:szCs w:val="28"/>
        </w:rPr>
        <w:id w:val="1809119260"/>
        <w:docPartObj>
          <w:docPartGallery w:val="Table of Contents"/>
          <w:docPartUnique/>
        </w:docPartObj>
      </w:sdtPr>
      <w:sdtEndPr>
        <w:rPr>
          <w:rFonts w:eastAsiaTheme="minorHAnsi" w:cstheme="minorBidi"/>
          <w:b w:val="0"/>
          <w:noProof/>
          <w:szCs w:val="24"/>
        </w:rPr>
      </w:sdtEndPr>
      <w:sdtContent>
        <w:p w14:paraId="333449B2" w14:textId="77777777" w:rsidR="00E0150F" w:rsidRDefault="00C765C7" w:rsidP="000F523E">
          <w:pPr>
            <w:pStyle w:val="TOC1"/>
            <w:rPr>
              <w:noProof/>
            </w:rPr>
          </w:pPr>
          <w:r w:rsidRPr="006F0B66">
            <w:rPr>
              <w:color w:val="003278"/>
              <w:sz w:val="32"/>
              <w:szCs w:val="32"/>
            </w:rPr>
            <w:t>Contents</w:t>
          </w:r>
          <w:r w:rsidR="00B72800">
            <w:rPr>
              <w:color w:val="003278"/>
              <w:sz w:val="32"/>
              <w:szCs w:val="32"/>
            </w:rPr>
            <w:br/>
          </w:r>
          <w:r>
            <w:rPr>
              <w:noProof/>
              <w:color w:val="003278"/>
            </w:rPr>
            <w:fldChar w:fldCharType="begin"/>
          </w:r>
          <w:r>
            <w:rPr>
              <w:noProof/>
              <w:color w:val="003278"/>
            </w:rPr>
            <w:instrText xml:space="preserve"> TOC \h \z \t "PCA Heading 1,1" </w:instrText>
          </w:r>
          <w:r>
            <w:rPr>
              <w:noProof/>
              <w:color w:val="003278"/>
            </w:rPr>
            <w:fldChar w:fldCharType="separate"/>
          </w:r>
        </w:p>
        <w:p w14:paraId="77FBF805" w14:textId="781CF0D6" w:rsidR="00E0150F" w:rsidRDefault="000F2D4F">
          <w:pPr>
            <w:pStyle w:val="TOC1"/>
            <w:rPr>
              <w:rFonts w:asciiTheme="minorHAnsi" w:eastAsiaTheme="minorEastAsia" w:hAnsiTheme="minorHAnsi" w:cstheme="minorBidi"/>
              <w:bCs w:val="0"/>
              <w:noProof/>
              <w:color w:val="auto"/>
              <w:sz w:val="22"/>
              <w:szCs w:val="22"/>
              <w:lang w:eastAsia="en-AU"/>
            </w:rPr>
          </w:pPr>
          <w:hyperlink w:anchor="_Toc104815726" w:history="1">
            <w:r w:rsidR="00E0150F" w:rsidRPr="00C906A1">
              <w:rPr>
                <w:rStyle w:val="Hyperlink"/>
                <w:noProof/>
              </w:rPr>
              <w:t>Financial Services Guide</w:t>
            </w:r>
            <w:r w:rsidR="00E0150F">
              <w:rPr>
                <w:noProof/>
                <w:webHidden/>
              </w:rPr>
              <w:tab/>
            </w:r>
            <w:r w:rsidR="00E0150F">
              <w:rPr>
                <w:noProof/>
                <w:webHidden/>
              </w:rPr>
              <w:fldChar w:fldCharType="begin"/>
            </w:r>
            <w:r w:rsidR="00E0150F">
              <w:rPr>
                <w:noProof/>
                <w:webHidden/>
              </w:rPr>
              <w:instrText xml:space="preserve"> PAGEREF _Toc104815726 \h </w:instrText>
            </w:r>
            <w:r w:rsidR="00E0150F">
              <w:rPr>
                <w:noProof/>
                <w:webHidden/>
              </w:rPr>
            </w:r>
            <w:r w:rsidR="00E0150F">
              <w:rPr>
                <w:noProof/>
                <w:webHidden/>
              </w:rPr>
              <w:fldChar w:fldCharType="separate"/>
            </w:r>
            <w:r w:rsidR="00930BAF">
              <w:rPr>
                <w:noProof/>
                <w:webHidden/>
              </w:rPr>
              <w:t>3</w:t>
            </w:r>
            <w:r w:rsidR="00E0150F">
              <w:rPr>
                <w:noProof/>
                <w:webHidden/>
              </w:rPr>
              <w:fldChar w:fldCharType="end"/>
            </w:r>
          </w:hyperlink>
        </w:p>
        <w:p w14:paraId="1866C72A" w14:textId="1F8DF7E0" w:rsidR="00E0150F" w:rsidRDefault="000F2D4F">
          <w:pPr>
            <w:pStyle w:val="TOC1"/>
            <w:rPr>
              <w:rFonts w:asciiTheme="minorHAnsi" w:eastAsiaTheme="minorEastAsia" w:hAnsiTheme="minorHAnsi" w:cstheme="minorBidi"/>
              <w:bCs w:val="0"/>
              <w:noProof/>
              <w:color w:val="auto"/>
              <w:sz w:val="22"/>
              <w:szCs w:val="22"/>
              <w:lang w:eastAsia="en-AU"/>
            </w:rPr>
          </w:pPr>
          <w:hyperlink w:anchor="_Toc104815727" w:history="1">
            <w:r w:rsidR="00E0150F" w:rsidRPr="00C906A1">
              <w:rPr>
                <w:rStyle w:val="Hyperlink"/>
                <w:noProof/>
              </w:rPr>
              <w:t>Our Services</w:t>
            </w:r>
            <w:r w:rsidR="00E0150F">
              <w:rPr>
                <w:noProof/>
                <w:webHidden/>
              </w:rPr>
              <w:tab/>
            </w:r>
            <w:r w:rsidR="00E0150F">
              <w:rPr>
                <w:noProof/>
                <w:webHidden/>
              </w:rPr>
              <w:fldChar w:fldCharType="begin"/>
            </w:r>
            <w:r w:rsidR="00E0150F">
              <w:rPr>
                <w:noProof/>
                <w:webHidden/>
              </w:rPr>
              <w:instrText xml:space="preserve"> PAGEREF _Toc104815727 \h </w:instrText>
            </w:r>
            <w:r w:rsidR="00E0150F">
              <w:rPr>
                <w:noProof/>
                <w:webHidden/>
              </w:rPr>
            </w:r>
            <w:r w:rsidR="00E0150F">
              <w:rPr>
                <w:noProof/>
                <w:webHidden/>
              </w:rPr>
              <w:fldChar w:fldCharType="separate"/>
            </w:r>
            <w:r w:rsidR="00930BAF">
              <w:rPr>
                <w:noProof/>
                <w:webHidden/>
              </w:rPr>
              <w:t>4</w:t>
            </w:r>
            <w:r w:rsidR="00E0150F">
              <w:rPr>
                <w:noProof/>
                <w:webHidden/>
              </w:rPr>
              <w:fldChar w:fldCharType="end"/>
            </w:r>
          </w:hyperlink>
        </w:p>
        <w:p w14:paraId="39F346BD" w14:textId="377BC4A7" w:rsidR="00E0150F" w:rsidRDefault="000F2D4F">
          <w:pPr>
            <w:pStyle w:val="TOC1"/>
            <w:rPr>
              <w:rFonts w:asciiTheme="minorHAnsi" w:eastAsiaTheme="minorEastAsia" w:hAnsiTheme="minorHAnsi" w:cstheme="minorBidi"/>
              <w:bCs w:val="0"/>
              <w:noProof/>
              <w:color w:val="auto"/>
              <w:sz w:val="22"/>
              <w:szCs w:val="22"/>
              <w:lang w:eastAsia="en-AU"/>
            </w:rPr>
          </w:pPr>
          <w:hyperlink w:anchor="_Toc104815728" w:history="1">
            <w:r w:rsidR="00E0150F" w:rsidRPr="00C906A1">
              <w:rPr>
                <w:rStyle w:val="Hyperlink"/>
                <w:noProof/>
              </w:rPr>
              <w:t>How Can You Deal With Us?</w:t>
            </w:r>
            <w:r w:rsidR="00E0150F">
              <w:rPr>
                <w:noProof/>
                <w:webHidden/>
              </w:rPr>
              <w:tab/>
            </w:r>
            <w:r w:rsidR="00E0150F">
              <w:rPr>
                <w:noProof/>
                <w:webHidden/>
              </w:rPr>
              <w:fldChar w:fldCharType="begin"/>
            </w:r>
            <w:r w:rsidR="00E0150F">
              <w:rPr>
                <w:noProof/>
                <w:webHidden/>
              </w:rPr>
              <w:instrText xml:space="preserve"> PAGEREF _Toc104815728 \h </w:instrText>
            </w:r>
            <w:r w:rsidR="00E0150F">
              <w:rPr>
                <w:noProof/>
                <w:webHidden/>
              </w:rPr>
            </w:r>
            <w:r w:rsidR="00E0150F">
              <w:rPr>
                <w:noProof/>
                <w:webHidden/>
              </w:rPr>
              <w:fldChar w:fldCharType="separate"/>
            </w:r>
            <w:r w:rsidR="00930BAF">
              <w:rPr>
                <w:noProof/>
                <w:webHidden/>
              </w:rPr>
              <w:t>5</w:t>
            </w:r>
            <w:r w:rsidR="00E0150F">
              <w:rPr>
                <w:noProof/>
                <w:webHidden/>
              </w:rPr>
              <w:fldChar w:fldCharType="end"/>
            </w:r>
          </w:hyperlink>
        </w:p>
        <w:p w14:paraId="44ED8824" w14:textId="42CCF35B" w:rsidR="00E0150F" w:rsidRDefault="000F2D4F">
          <w:pPr>
            <w:pStyle w:val="TOC1"/>
            <w:rPr>
              <w:rFonts w:asciiTheme="minorHAnsi" w:eastAsiaTheme="minorEastAsia" w:hAnsiTheme="minorHAnsi" w:cstheme="minorBidi"/>
              <w:bCs w:val="0"/>
              <w:noProof/>
              <w:color w:val="auto"/>
              <w:sz w:val="22"/>
              <w:szCs w:val="22"/>
              <w:lang w:eastAsia="en-AU"/>
            </w:rPr>
          </w:pPr>
          <w:hyperlink w:anchor="_Toc104815729" w:history="1">
            <w:r w:rsidR="00E0150F" w:rsidRPr="00C906A1">
              <w:rPr>
                <w:rStyle w:val="Hyperlink"/>
                <w:noProof/>
              </w:rPr>
              <w:t>How Are We Paid?</w:t>
            </w:r>
            <w:r w:rsidR="00E0150F">
              <w:rPr>
                <w:noProof/>
                <w:webHidden/>
              </w:rPr>
              <w:tab/>
            </w:r>
            <w:r w:rsidR="00E0150F">
              <w:rPr>
                <w:noProof/>
                <w:webHidden/>
              </w:rPr>
              <w:fldChar w:fldCharType="begin"/>
            </w:r>
            <w:r w:rsidR="00E0150F">
              <w:rPr>
                <w:noProof/>
                <w:webHidden/>
              </w:rPr>
              <w:instrText xml:space="preserve"> PAGEREF _Toc104815729 \h </w:instrText>
            </w:r>
            <w:r w:rsidR="00E0150F">
              <w:rPr>
                <w:noProof/>
                <w:webHidden/>
              </w:rPr>
            </w:r>
            <w:r w:rsidR="00E0150F">
              <w:rPr>
                <w:noProof/>
                <w:webHidden/>
              </w:rPr>
              <w:fldChar w:fldCharType="separate"/>
            </w:r>
            <w:r w:rsidR="00930BAF">
              <w:rPr>
                <w:noProof/>
                <w:webHidden/>
              </w:rPr>
              <w:t>5</w:t>
            </w:r>
            <w:r w:rsidR="00E0150F">
              <w:rPr>
                <w:noProof/>
                <w:webHidden/>
              </w:rPr>
              <w:fldChar w:fldCharType="end"/>
            </w:r>
          </w:hyperlink>
        </w:p>
        <w:p w14:paraId="678CB1DB" w14:textId="71B33E49" w:rsidR="00E0150F" w:rsidRDefault="000F2D4F">
          <w:pPr>
            <w:pStyle w:val="TOC1"/>
            <w:rPr>
              <w:rFonts w:asciiTheme="minorHAnsi" w:eastAsiaTheme="minorEastAsia" w:hAnsiTheme="minorHAnsi" w:cstheme="minorBidi"/>
              <w:bCs w:val="0"/>
              <w:noProof/>
              <w:color w:val="auto"/>
              <w:sz w:val="22"/>
              <w:szCs w:val="22"/>
              <w:lang w:eastAsia="en-AU"/>
            </w:rPr>
          </w:pPr>
          <w:hyperlink w:anchor="_Toc104815730" w:history="1">
            <w:r w:rsidR="00E0150F" w:rsidRPr="00C906A1">
              <w:rPr>
                <w:rStyle w:val="Hyperlink"/>
                <w:noProof/>
              </w:rPr>
              <w:t>All amounts noted above are inclusive of GST.</w:t>
            </w:r>
            <w:r w:rsidR="00E0150F">
              <w:rPr>
                <w:noProof/>
                <w:webHidden/>
              </w:rPr>
              <w:tab/>
            </w:r>
            <w:r w:rsidR="00E0150F">
              <w:rPr>
                <w:noProof/>
                <w:webHidden/>
              </w:rPr>
              <w:fldChar w:fldCharType="begin"/>
            </w:r>
            <w:r w:rsidR="00E0150F">
              <w:rPr>
                <w:noProof/>
                <w:webHidden/>
              </w:rPr>
              <w:instrText xml:space="preserve"> PAGEREF _Toc104815730 \h </w:instrText>
            </w:r>
            <w:r w:rsidR="00E0150F">
              <w:rPr>
                <w:noProof/>
                <w:webHidden/>
              </w:rPr>
            </w:r>
            <w:r w:rsidR="00E0150F">
              <w:rPr>
                <w:noProof/>
                <w:webHidden/>
              </w:rPr>
              <w:fldChar w:fldCharType="separate"/>
            </w:r>
            <w:r w:rsidR="00930BAF">
              <w:rPr>
                <w:noProof/>
                <w:webHidden/>
              </w:rPr>
              <w:t>6</w:t>
            </w:r>
            <w:r w:rsidR="00E0150F">
              <w:rPr>
                <w:noProof/>
                <w:webHidden/>
              </w:rPr>
              <w:fldChar w:fldCharType="end"/>
            </w:r>
          </w:hyperlink>
        </w:p>
        <w:p w14:paraId="1B90042A" w14:textId="59677222" w:rsidR="00E0150F" w:rsidRDefault="000F2D4F">
          <w:pPr>
            <w:pStyle w:val="TOC1"/>
            <w:rPr>
              <w:rFonts w:asciiTheme="minorHAnsi" w:eastAsiaTheme="minorEastAsia" w:hAnsiTheme="minorHAnsi" w:cstheme="minorBidi"/>
              <w:bCs w:val="0"/>
              <w:noProof/>
              <w:color w:val="auto"/>
              <w:sz w:val="22"/>
              <w:szCs w:val="22"/>
              <w:lang w:eastAsia="en-AU"/>
            </w:rPr>
          </w:pPr>
          <w:hyperlink w:anchor="_Toc104815731" w:history="1">
            <w:r w:rsidR="00E0150F" w:rsidRPr="00C906A1">
              <w:rPr>
                <w:rStyle w:val="Hyperlink"/>
                <w:noProof/>
              </w:rPr>
              <w:t>Who We Pay?</w:t>
            </w:r>
            <w:r w:rsidR="00E0150F">
              <w:rPr>
                <w:noProof/>
                <w:webHidden/>
              </w:rPr>
              <w:tab/>
            </w:r>
            <w:r w:rsidR="00E0150F">
              <w:rPr>
                <w:noProof/>
                <w:webHidden/>
              </w:rPr>
              <w:fldChar w:fldCharType="begin"/>
            </w:r>
            <w:r w:rsidR="00E0150F">
              <w:rPr>
                <w:noProof/>
                <w:webHidden/>
              </w:rPr>
              <w:instrText xml:space="preserve"> PAGEREF _Toc104815731 \h </w:instrText>
            </w:r>
            <w:r w:rsidR="00E0150F">
              <w:rPr>
                <w:noProof/>
                <w:webHidden/>
              </w:rPr>
            </w:r>
            <w:r w:rsidR="00E0150F">
              <w:rPr>
                <w:noProof/>
                <w:webHidden/>
              </w:rPr>
              <w:fldChar w:fldCharType="separate"/>
            </w:r>
            <w:r w:rsidR="00930BAF">
              <w:rPr>
                <w:noProof/>
                <w:webHidden/>
              </w:rPr>
              <w:t>6</w:t>
            </w:r>
            <w:r w:rsidR="00E0150F">
              <w:rPr>
                <w:noProof/>
                <w:webHidden/>
              </w:rPr>
              <w:fldChar w:fldCharType="end"/>
            </w:r>
          </w:hyperlink>
        </w:p>
        <w:p w14:paraId="7EFC7E6B" w14:textId="3B602488" w:rsidR="00E0150F" w:rsidRDefault="000F2D4F">
          <w:pPr>
            <w:pStyle w:val="TOC1"/>
            <w:rPr>
              <w:rFonts w:asciiTheme="minorHAnsi" w:eastAsiaTheme="minorEastAsia" w:hAnsiTheme="minorHAnsi" w:cstheme="minorBidi"/>
              <w:bCs w:val="0"/>
              <w:noProof/>
              <w:color w:val="auto"/>
              <w:sz w:val="22"/>
              <w:szCs w:val="22"/>
              <w:lang w:eastAsia="en-AU"/>
            </w:rPr>
          </w:pPr>
          <w:hyperlink w:anchor="_Toc104815732" w:history="1">
            <w:r w:rsidR="00E0150F" w:rsidRPr="00C906A1">
              <w:rPr>
                <w:rStyle w:val="Hyperlink"/>
                <w:noProof/>
              </w:rPr>
              <w:t>Further Details on Remuneration and Benefits Relating to Financial Services</w:t>
            </w:r>
            <w:r w:rsidR="00E0150F">
              <w:rPr>
                <w:noProof/>
                <w:webHidden/>
              </w:rPr>
              <w:tab/>
            </w:r>
            <w:r w:rsidR="00E0150F">
              <w:rPr>
                <w:noProof/>
                <w:webHidden/>
              </w:rPr>
              <w:fldChar w:fldCharType="begin"/>
            </w:r>
            <w:r w:rsidR="00E0150F">
              <w:rPr>
                <w:noProof/>
                <w:webHidden/>
              </w:rPr>
              <w:instrText xml:space="preserve"> PAGEREF _Toc104815732 \h </w:instrText>
            </w:r>
            <w:r w:rsidR="00E0150F">
              <w:rPr>
                <w:noProof/>
                <w:webHidden/>
              </w:rPr>
            </w:r>
            <w:r w:rsidR="00E0150F">
              <w:rPr>
                <w:noProof/>
                <w:webHidden/>
              </w:rPr>
              <w:fldChar w:fldCharType="separate"/>
            </w:r>
            <w:r w:rsidR="00930BAF">
              <w:rPr>
                <w:noProof/>
                <w:webHidden/>
              </w:rPr>
              <w:t>6</w:t>
            </w:r>
            <w:r w:rsidR="00E0150F">
              <w:rPr>
                <w:noProof/>
                <w:webHidden/>
              </w:rPr>
              <w:fldChar w:fldCharType="end"/>
            </w:r>
          </w:hyperlink>
        </w:p>
        <w:p w14:paraId="378AD3CB" w14:textId="59823AFD" w:rsidR="00E0150F" w:rsidRDefault="000F2D4F">
          <w:pPr>
            <w:pStyle w:val="TOC1"/>
            <w:rPr>
              <w:rFonts w:asciiTheme="minorHAnsi" w:eastAsiaTheme="minorEastAsia" w:hAnsiTheme="minorHAnsi" w:cstheme="minorBidi"/>
              <w:bCs w:val="0"/>
              <w:noProof/>
              <w:color w:val="auto"/>
              <w:sz w:val="22"/>
              <w:szCs w:val="22"/>
              <w:lang w:eastAsia="en-AU"/>
            </w:rPr>
          </w:pPr>
          <w:hyperlink w:anchor="_Toc104815733" w:history="1">
            <w:r w:rsidR="00E0150F" w:rsidRPr="00C906A1">
              <w:rPr>
                <w:rStyle w:val="Hyperlink"/>
                <w:noProof/>
              </w:rPr>
              <w:t>Important Associations</w:t>
            </w:r>
            <w:r w:rsidR="00E0150F">
              <w:rPr>
                <w:noProof/>
                <w:webHidden/>
              </w:rPr>
              <w:tab/>
            </w:r>
            <w:r w:rsidR="00E0150F">
              <w:rPr>
                <w:noProof/>
                <w:webHidden/>
              </w:rPr>
              <w:fldChar w:fldCharType="begin"/>
            </w:r>
            <w:r w:rsidR="00E0150F">
              <w:rPr>
                <w:noProof/>
                <w:webHidden/>
              </w:rPr>
              <w:instrText xml:space="preserve"> PAGEREF _Toc104815733 \h </w:instrText>
            </w:r>
            <w:r w:rsidR="00E0150F">
              <w:rPr>
                <w:noProof/>
                <w:webHidden/>
              </w:rPr>
            </w:r>
            <w:r w:rsidR="00E0150F">
              <w:rPr>
                <w:noProof/>
                <w:webHidden/>
              </w:rPr>
              <w:fldChar w:fldCharType="separate"/>
            </w:r>
            <w:r w:rsidR="00930BAF">
              <w:rPr>
                <w:noProof/>
                <w:webHidden/>
              </w:rPr>
              <w:t>7</w:t>
            </w:r>
            <w:r w:rsidR="00E0150F">
              <w:rPr>
                <w:noProof/>
                <w:webHidden/>
              </w:rPr>
              <w:fldChar w:fldCharType="end"/>
            </w:r>
          </w:hyperlink>
        </w:p>
        <w:p w14:paraId="63EBF593" w14:textId="3A7DD751" w:rsidR="00E0150F" w:rsidRDefault="000F2D4F">
          <w:pPr>
            <w:pStyle w:val="TOC1"/>
            <w:rPr>
              <w:rFonts w:asciiTheme="minorHAnsi" w:eastAsiaTheme="minorEastAsia" w:hAnsiTheme="minorHAnsi" w:cstheme="minorBidi"/>
              <w:bCs w:val="0"/>
              <w:noProof/>
              <w:color w:val="auto"/>
              <w:sz w:val="22"/>
              <w:szCs w:val="22"/>
              <w:lang w:eastAsia="en-AU"/>
            </w:rPr>
          </w:pPr>
          <w:hyperlink w:anchor="_Toc104815734" w:history="1">
            <w:r w:rsidR="00E0150F" w:rsidRPr="00C906A1">
              <w:rPr>
                <w:rStyle w:val="Hyperlink"/>
                <w:noProof/>
              </w:rPr>
              <w:t>Our Professional Indemnity Insurance</w:t>
            </w:r>
            <w:r w:rsidR="00E0150F">
              <w:rPr>
                <w:noProof/>
                <w:webHidden/>
              </w:rPr>
              <w:tab/>
            </w:r>
            <w:r w:rsidR="00E0150F">
              <w:rPr>
                <w:noProof/>
                <w:webHidden/>
              </w:rPr>
              <w:fldChar w:fldCharType="begin"/>
            </w:r>
            <w:r w:rsidR="00E0150F">
              <w:rPr>
                <w:noProof/>
                <w:webHidden/>
              </w:rPr>
              <w:instrText xml:space="preserve"> PAGEREF _Toc104815734 \h </w:instrText>
            </w:r>
            <w:r w:rsidR="00E0150F">
              <w:rPr>
                <w:noProof/>
                <w:webHidden/>
              </w:rPr>
            </w:r>
            <w:r w:rsidR="00E0150F">
              <w:rPr>
                <w:noProof/>
                <w:webHidden/>
              </w:rPr>
              <w:fldChar w:fldCharType="separate"/>
            </w:r>
            <w:r w:rsidR="00930BAF">
              <w:rPr>
                <w:noProof/>
                <w:webHidden/>
              </w:rPr>
              <w:t>7</w:t>
            </w:r>
            <w:r w:rsidR="00E0150F">
              <w:rPr>
                <w:noProof/>
                <w:webHidden/>
              </w:rPr>
              <w:fldChar w:fldCharType="end"/>
            </w:r>
          </w:hyperlink>
        </w:p>
        <w:p w14:paraId="6E38F8A4" w14:textId="63565BFF" w:rsidR="00E0150F" w:rsidRDefault="000F2D4F">
          <w:pPr>
            <w:pStyle w:val="TOC1"/>
            <w:rPr>
              <w:rFonts w:asciiTheme="minorHAnsi" w:eastAsiaTheme="minorEastAsia" w:hAnsiTheme="minorHAnsi" w:cstheme="minorBidi"/>
              <w:bCs w:val="0"/>
              <w:noProof/>
              <w:color w:val="auto"/>
              <w:sz w:val="22"/>
              <w:szCs w:val="22"/>
              <w:lang w:eastAsia="en-AU"/>
            </w:rPr>
          </w:pPr>
          <w:hyperlink w:anchor="_Toc104815735" w:history="1">
            <w:r w:rsidR="00E0150F" w:rsidRPr="00C906A1">
              <w:rPr>
                <w:rStyle w:val="Hyperlink"/>
                <w:noProof/>
              </w:rPr>
              <w:t>What To Do if You Have a Complaint?</w:t>
            </w:r>
            <w:r w:rsidR="00E0150F">
              <w:rPr>
                <w:noProof/>
                <w:webHidden/>
              </w:rPr>
              <w:tab/>
            </w:r>
            <w:r w:rsidR="00E0150F">
              <w:rPr>
                <w:noProof/>
                <w:webHidden/>
              </w:rPr>
              <w:fldChar w:fldCharType="begin"/>
            </w:r>
            <w:r w:rsidR="00E0150F">
              <w:rPr>
                <w:noProof/>
                <w:webHidden/>
              </w:rPr>
              <w:instrText xml:space="preserve"> PAGEREF _Toc104815735 \h </w:instrText>
            </w:r>
            <w:r w:rsidR="00E0150F">
              <w:rPr>
                <w:noProof/>
                <w:webHidden/>
              </w:rPr>
            </w:r>
            <w:r w:rsidR="00E0150F">
              <w:rPr>
                <w:noProof/>
                <w:webHidden/>
              </w:rPr>
              <w:fldChar w:fldCharType="separate"/>
            </w:r>
            <w:r w:rsidR="00930BAF">
              <w:rPr>
                <w:noProof/>
                <w:webHidden/>
              </w:rPr>
              <w:t>7</w:t>
            </w:r>
            <w:r w:rsidR="00E0150F">
              <w:rPr>
                <w:noProof/>
                <w:webHidden/>
              </w:rPr>
              <w:fldChar w:fldCharType="end"/>
            </w:r>
          </w:hyperlink>
        </w:p>
        <w:p w14:paraId="1AA7AF88" w14:textId="3B4F6036" w:rsidR="00E0150F" w:rsidRDefault="000F2D4F">
          <w:pPr>
            <w:pStyle w:val="TOC1"/>
            <w:rPr>
              <w:rFonts w:asciiTheme="minorHAnsi" w:eastAsiaTheme="minorEastAsia" w:hAnsiTheme="minorHAnsi" w:cstheme="minorBidi"/>
              <w:bCs w:val="0"/>
              <w:noProof/>
              <w:color w:val="auto"/>
              <w:sz w:val="22"/>
              <w:szCs w:val="22"/>
              <w:lang w:eastAsia="en-AU"/>
            </w:rPr>
          </w:pPr>
          <w:hyperlink w:anchor="_Toc104815736" w:history="1">
            <w:r w:rsidR="00E0150F" w:rsidRPr="00C906A1">
              <w:rPr>
                <w:rStyle w:val="Hyperlink"/>
                <w:noProof/>
              </w:rPr>
              <w:t>Contact Details for AFCA are:</w:t>
            </w:r>
            <w:r w:rsidR="00E0150F">
              <w:rPr>
                <w:noProof/>
                <w:webHidden/>
              </w:rPr>
              <w:tab/>
            </w:r>
            <w:r w:rsidR="00E0150F">
              <w:rPr>
                <w:noProof/>
                <w:webHidden/>
              </w:rPr>
              <w:fldChar w:fldCharType="begin"/>
            </w:r>
            <w:r w:rsidR="00E0150F">
              <w:rPr>
                <w:noProof/>
                <w:webHidden/>
              </w:rPr>
              <w:instrText xml:space="preserve"> PAGEREF _Toc104815736 \h </w:instrText>
            </w:r>
            <w:r w:rsidR="00E0150F">
              <w:rPr>
                <w:noProof/>
                <w:webHidden/>
              </w:rPr>
            </w:r>
            <w:r w:rsidR="00E0150F">
              <w:rPr>
                <w:noProof/>
                <w:webHidden/>
              </w:rPr>
              <w:fldChar w:fldCharType="separate"/>
            </w:r>
            <w:r w:rsidR="00930BAF">
              <w:rPr>
                <w:noProof/>
                <w:webHidden/>
              </w:rPr>
              <w:t>7</w:t>
            </w:r>
            <w:r w:rsidR="00E0150F">
              <w:rPr>
                <w:noProof/>
                <w:webHidden/>
              </w:rPr>
              <w:fldChar w:fldCharType="end"/>
            </w:r>
          </w:hyperlink>
        </w:p>
        <w:p w14:paraId="2E05A2F0" w14:textId="55D27F49" w:rsidR="00E0150F" w:rsidRDefault="000F2D4F">
          <w:pPr>
            <w:pStyle w:val="TOC1"/>
            <w:rPr>
              <w:rFonts w:asciiTheme="minorHAnsi" w:eastAsiaTheme="minorEastAsia" w:hAnsiTheme="minorHAnsi" w:cstheme="minorBidi"/>
              <w:bCs w:val="0"/>
              <w:noProof/>
              <w:color w:val="auto"/>
              <w:sz w:val="22"/>
              <w:szCs w:val="22"/>
              <w:lang w:eastAsia="en-AU"/>
            </w:rPr>
          </w:pPr>
          <w:hyperlink w:anchor="_Toc104815737" w:history="1">
            <w:r w:rsidR="00E0150F" w:rsidRPr="00C906A1">
              <w:rPr>
                <w:rStyle w:val="Hyperlink"/>
                <w:noProof/>
              </w:rPr>
              <w:t>How We Protect Your Privacy?</w:t>
            </w:r>
            <w:r w:rsidR="00E0150F">
              <w:rPr>
                <w:noProof/>
                <w:webHidden/>
              </w:rPr>
              <w:tab/>
            </w:r>
            <w:r w:rsidR="00E0150F">
              <w:rPr>
                <w:noProof/>
                <w:webHidden/>
              </w:rPr>
              <w:fldChar w:fldCharType="begin"/>
            </w:r>
            <w:r w:rsidR="00E0150F">
              <w:rPr>
                <w:noProof/>
                <w:webHidden/>
              </w:rPr>
              <w:instrText xml:space="preserve"> PAGEREF _Toc104815737 \h </w:instrText>
            </w:r>
            <w:r w:rsidR="00E0150F">
              <w:rPr>
                <w:noProof/>
                <w:webHidden/>
              </w:rPr>
            </w:r>
            <w:r w:rsidR="00E0150F">
              <w:rPr>
                <w:noProof/>
                <w:webHidden/>
              </w:rPr>
              <w:fldChar w:fldCharType="separate"/>
            </w:r>
            <w:r w:rsidR="00930BAF">
              <w:rPr>
                <w:noProof/>
                <w:webHidden/>
              </w:rPr>
              <w:t>7</w:t>
            </w:r>
            <w:r w:rsidR="00E0150F">
              <w:rPr>
                <w:noProof/>
                <w:webHidden/>
              </w:rPr>
              <w:fldChar w:fldCharType="end"/>
            </w:r>
          </w:hyperlink>
        </w:p>
        <w:p w14:paraId="2948A350" w14:textId="07396349" w:rsidR="00E0150F" w:rsidRDefault="000F2D4F">
          <w:pPr>
            <w:pStyle w:val="TOC1"/>
            <w:rPr>
              <w:rFonts w:asciiTheme="minorHAnsi" w:eastAsiaTheme="minorEastAsia" w:hAnsiTheme="minorHAnsi" w:cstheme="minorBidi"/>
              <w:bCs w:val="0"/>
              <w:noProof/>
              <w:color w:val="auto"/>
              <w:sz w:val="22"/>
              <w:szCs w:val="22"/>
              <w:lang w:eastAsia="en-AU"/>
            </w:rPr>
          </w:pPr>
          <w:hyperlink w:anchor="_Toc104815738" w:history="1">
            <w:r w:rsidR="00E0150F" w:rsidRPr="00C906A1">
              <w:rPr>
                <w:rStyle w:val="Hyperlink"/>
                <w:noProof/>
              </w:rPr>
              <w:t>How Can You Contact Us?</w:t>
            </w:r>
            <w:r w:rsidR="00E0150F">
              <w:rPr>
                <w:noProof/>
                <w:webHidden/>
              </w:rPr>
              <w:tab/>
            </w:r>
            <w:r w:rsidR="00E0150F">
              <w:rPr>
                <w:noProof/>
                <w:webHidden/>
              </w:rPr>
              <w:fldChar w:fldCharType="begin"/>
            </w:r>
            <w:r w:rsidR="00E0150F">
              <w:rPr>
                <w:noProof/>
                <w:webHidden/>
              </w:rPr>
              <w:instrText xml:space="preserve"> PAGEREF _Toc104815738 \h </w:instrText>
            </w:r>
            <w:r w:rsidR="00E0150F">
              <w:rPr>
                <w:noProof/>
                <w:webHidden/>
              </w:rPr>
            </w:r>
            <w:r w:rsidR="00E0150F">
              <w:rPr>
                <w:noProof/>
                <w:webHidden/>
              </w:rPr>
              <w:fldChar w:fldCharType="separate"/>
            </w:r>
            <w:r w:rsidR="00930BAF">
              <w:rPr>
                <w:noProof/>
                <w:webHidden/>
              </w:rPr>
              <w:t>8</w:t>
            </w:r>
            <w:r w:rsidR="00E0150F">
              <w:rPr>
                <w:noProof/>
                <w:webHidden/>
              </w:rPr>
              <w:fldChar w:fldCharType="end"/>
            </w:r>
          </w:hyperlink>
        </w:p>
        <w:p w14:paraId="08EC728E" w14:textId="77777777" w:rsidR="00C765C7" w:rsidRDefault="00C765C7" w:rsidP="00C765C7">
          <w:pPr>
            <w:pStyle w:val="PCABodyText"/>
            <w:rPr>
              <w:noProof/>
            </w:rPr>
          </w:pPr>
          <w:r>
            <w:rPr>
              <w:noProof/>
              <w:color w:val="003278"/>
            </w:rPr>
            <w:fldChar w:fldCharType="end"/>
          </w:r>
        </w:p>
      </w:sdtContent>
    </w:sdt>
    <w:p w14:paraId="71F372EC" w14:textId="77777777" w:rsidR="00C765C7" w:rsidRPr="00532746" w:rsidRDefault="00C765C7" w:rsidP="00C765C7">
      <w:pPr>
        <w:pStyle w:val="PCABodyText"/>
      </w:pPr>
      <w:r>
        <w:br w:type="page"/>
      </w:r>
    </w:p>
    <w:p w14:paraId="238CB090" w14:textId="3A1FDACA" w:rsidR="00C765C7" w:rsidRDefault="00C765C7" w:rsidP="00C765C7">
      <w:pPr>
        <w:pStyle w:val="PCAHeading1"/>
      </w:pPr>
      <w:bookmarkStart w:id="0" w:name="_Toc104815726"/>
      <w:r>
        <w:lastRenderedPageBreak/>
        <w:t>Financial Services Guide</w:t>
      </w:r>
      <w:bookmarkEnd w:id="0"/>
    </w:p>
    <w:p w14:paraId="675E3C48" w14:textId="52DA09BD" w:rsidR="00C765C7" w:rsidRDefault="00C765C7" w:rsidP="00C765C7">
      <w:pPr>
        <w:pStyle w:val="PCABodyText"/>
      </w:pPr>
      <w:r>
        <w:t xml:space="preserve">Private Capital Advisers Pty Ltd (Private Capital Advisers, we, us and our) is an Australian Financial Services Licensee (AFS Licence No. 422 593). </w:t>
      </w:r>
    </w:p>
    <w:p w14:paraId="253B8A4C" w14:textId="77777777" w:rsidR="00C765C7" w:rsidRDefault="00C765C7" w:rsidP="00C765C7">
      <w:pPr>
        <w:pStyle w:val="PCABodyText"/>
      </w:pPr>
    </w:p>
    <w:p w14:paraId="78354DE9" w14:textId="79428B70" w:rsidR="00C765C7" w:rsidRDefault="00C765C7" w:rsidP="00C765C7">
      <w:pPr>
        <w:pStyle w:val="PCABodyText"/>
      </w:pPr>
      <w:r>
        <w:t>This Financial Services Guide (FSG) is intended to inform you of certain basic matters relating to our relationship, prior to us providing you with a financial service. It contains important information about:</w:t>
      </w:r>
    </w:p>
    <w:p w14:paraId="2FFAEEB6" w14:textId="77777777" w:rsidR="00C765C7" w:rsidRDefault="00C765C7" w:rsidP="00C765C7">
      <w:pPr>
        <w:pStyle w:val="PCABodyText"/>
      </w:pPr>
    </w:p>
    <w:p w14:paraId="48A49AC0" w14:textId="77777777" w:rsidR="00C765C7" w:rsidRDefault="00C765C7" w:rsidP="00C765C7">
      <w:pPr>
        <w:pStyle w:val="PCABodyTextBullet1"/>
      </w:pPr>
      <w:r>
        <w:t>The services we offer you;</w:t>
      </w:r>
    </w:p>
    <w:p w14:paraId="6DD1A165" w14:textId="77777777" w:rsidR="00C765C7" w:rsidRDefault="00C765C7" w:rsidP="00C765C7">
      <w:pPr>
        <w:pStyle w:val="PCABodyTextBullet1"/>
      </w:pPr>
      <w:r>
        <w:t>How we and our associates are paid;</w:t>
      </w:r>
    </w:p>
    <w:p w14:paraId="1E29A43E" w14:textId="77777777" w:rsidR="00C765C7" w:rsidRDefault="00C765C7" w:rsidP="00C765C7">
      <w:pPr>
        <w:pStyle w:val="PCABodyTextBullet1"/>
      </w:pPr>
      <w:r>
        <w:t>Any potential conflict of interest we may have; and</w:t>
      </w:r>
    </w:p>
    <w:p w14:paraId="3E8E9E70" w14:textId="77777777" w:rsidR="00C765C7" w:rsidRDefault="00C765C7" w:rsidP="00C765C7">
      <w:pPr>
        <w:pStyle w:val="PCABodyTextBullet1"/>
      </w:pPr>
      <w:r>
        <w:t>Our internal and external dispute resolution procedures and how you can access them.</w:t>
      </w:r>
    </w:p>
    <w:p w14:paraId="00610635" w14:textId="77777777" w:rsidR="00C765C7" w:rsidRDefault="00C765C7" w:rsidP="00C765C7">
      <w:pPr>
        <w:pStyle w:val="PCABodyText"/>
      </w:pPr>
    </w:p>
    <w:p w14:paraId="2537D8BA" w14:textId="3F752D04" w:rsidR="00C765C7" w:rsidRDefault="00C765C7" w:rsidP="00C765C7">
      <w:pPr>
        <w:pStyle w:val="PCABodyText"/>
      </w:pPr>
      <w:r>
        <w:t>It is intended that this FSG should assist you in determining whether to use any of the services we offer you.</w:t>
      </w:r>
    </w:p>
    <w:p w14:paraId="0D4CBFEF" w14:textId="546BE041" w:rsidR="00D658FD" w:rsidRDefault="00D658FD" w:rsidP="00C765C7">
      <w:pPr>
        <w:pStyle w:val="PCABodyText"/>
      </w:pPr>
    </w:p>
    <w:p w14:paraId="7F05EADD" w14:textId="77777777" w:rsidR="00D658FD" w:rsidRDefault="00D658FD" w:rsidP="00D658FD">
      <w:pPr>
        <w:pStyle w:val="PCABodyText"/>
        <w:pBdr>
          <w:top w:val="single" w:sz="4" w:space="1" w:color="auto"/>
          <w:left w:val="single" w:sz="4" w:space="4" w:color="auto"/>
          <w:bottom w:val="single" w:sz="4" w:space="1" w:color="auto"/>
          <w:right w:val="single" w:sz="4" w:space="4" w:color="auto"/>
        </w:pBdr>
        <w:rPr>
          <w:rFonts w:cs="Arial"/>
          <w:b/>
          <w:bCs/>
          <w:szCs w:val="20"/>
        </w:rPr>
      </w:pPr>
    </w:p>
    <w:p w14:paraId="211020F0" w14:textId="73645E0B" w:rsidR="00D658FD" w:rsidRPr="00D658FD" w:rsidRDefault="00D658FD" w:rsidP="00D658FD">
      <w:pPr>
        <w:pStyle w:val="PCABodyText"/>
        <w:pBdr>
          <w:top w:val="single" w:sz="4" w:space="1" w:color="auto"/>
          <w:left w:val="single" w:sz="4" w:space="4" w:color="auto"/>
          <w:bottom w:val="single" w:sz="4" w:space="1" w:color="auto"/>
          <w:right w:val="single" w:sz="4" w:space="4" w:color="auto"/>
        </w:pBdr>
        <w:rPr>
          <w:rFonts w:cs="Arial"/>
          <w:b/>
          <w:bCs/>
          <w:color w:val="0070C0"/>
          <w:sz w:val="28"/>
          <w:szCs w:val="28"/>
        </w:rPr>
      </w:pPr>
      <w:r w:rsidRPr="00D658FD">
        <w:rPr>
          <w:rFonts w:cs="Arial"/>
          <w:b/>
          <w:bCs/>
          <w:color w:val="0070C0"/>
          <w:sz w:val="28"/>
          <w:szCs w:val="28"/>
        </w:rPr>
        <w:t>Not Independent</w:t>
      </w:r>
    </w:p>
    <w:p w14:paraId="02CC6C63" w14:textId="77777777" w:rsidR="00D658FD" w:rsidRDefault="00D658FD" w:rsidP="00D658FD">
      <w:pPr>
        <w:pStyle w:val="PCABodyText"/>
        <w:pBdr>
          <w:top w:val="single" w:sz="4" w:space="1" w:color="auto"/>
          <w:left w:val="single" w:sz="4" w:space="4" w:color="auto"/>
          <w:bottom w:val="single" w:sz="4" w:space="1" w:color="auto"/>
          <w:right w:val="single" w:sz="4" w:space="4" w:color="auto"/>
        </w:pBdr>
        <w:rPr>
          <w:rFonts w:cs="Arial"/>
          <w:szCs w:val="20"/>
        </w:rPr>
      </w:pPr>
    </w:p>
    <w:p w14:paraId="7766B33B" w14:textId="77777777" w:rsidR="00D658FD" w:rsidRDefault="00D658FD" w:rsidP="00D658FD">
      <w:pPr>
        <w:pStyle w:val="PCABodyText"/>
        <w:pBdr>
          <w:top w:val="single" w:sz="4" w:space="1" w:color="auto"/>
          <w:left w:val="single" w:sz="4" w:space="4" w:color="auto"/>
          <w:bottom w:val="single" w:sz="4" w:space="1" w:color="auto"/>
          <w:right w:val="single" w:sz="4" w:space="4" w:color="auto"/>
        </w:pBdr>
        <w:rPr>
          <w:rFonts w:cs="Arial"/>
          <w:szCs w:val="20"/>
        </w:rPr>
      </w:pPr>
      <w:r>
        <w:rPr>
          <w:rFonts w:cs="Arial"/>
          <w:szCs w:val="20"/>
        </w:rPr>
        <w:t>While we will always seek to meet our legal obligations to act in our clients’ best interests within the meaning of section 961B of the Corporations Act 2001, we do not fall within the strict definitions of “independent”, “unbiased” or “impartial” under section 923A.  The reason we do not fall within these definitions is because we give our clients the option to allow life insurance companies to pay us commissions for the services that we provide to our clients rather than for us to be required to directly invoice our clients and for our clients to be required to pay us directly.  We remain committed to continue to give our clients this important choice.</w:t>
      </w:r>
    </w:p>
    <w:p w14:paraId="39F6D127" w14:textId="77777777" w:rsidR="00D658FD" w:rsidRDefault="00D658FD" w:rsidP="00D658FD">
      <w:pPr>
        <w:pStyle w:val="PCABodyText"/>
        <w:pBdr>
          <w:top w:val="single" w:sz="4" w:space="1" w:color="auto"/>
          <w:left w:val="single" w:sz="4" w:space="4" w:color="auto"/>
          <w:bottom w:val="single" w:sz="4" w:space="1" w:color="auto"/>
          <w:right w:val="single" w:sz="4" w:space="4" w:color="auto"/>
        </w:pBdr>
        <w:rPr>
          <w:rFonts w:cs="Arial"/>
          <w:szCs w:val="20"/>
        </w:rPr>
      </w:pPr>
    </w:p>
    <w:p w14:paraId="498712CD" w14:textId="77777777" w:rsidR="00D658FD" w:rsidRDefault="00D658FD" w:rsidP="00C765C7">
      <w:pPr>
        <w:pStyle w:val="PCABodyText"/>
      </w:pPr>
    </w:p>
    <w:p w14:paraId="6A821742" w14:textId="77777777" w:rsidR="00C765C7" w:rsidRDefault="00C765C7" w:rsidP="00C765C7">
      <w:pPr>
        <w:pStyle w:val="PCABodyText"/>
      </w:pPr>
    </w:p>
    <w:p w14:paraId="1BC33657" w14:textId="77777777" w:rsidR="00C765C7" w:rsidRDefault="00C765C7" w:rsidP="00C765C7">
      <w:pPr>
        <w:pStyle w:val="PCABodyText"/>
      </w:pPr>
      <w:r>
        <w:t>We may give you other documents when providing our services to you. These documents may include:</w:t>
      </w:r>
    </w:p>
    <w:p w14:paraId="2B0868A5" w14:textId="77777777" w:rsidR="00C765C7" w:rsidRDefault="00C765C7" w:rsidP="00C765C7">
      <w:pPr>
        <w:pStyle w:val="PCABodyText"/>
      </w:pPr>
    </w:p>
    <w:p w14:paraId="7CA34EE4" w14:textId="77777777" w:rsidR="00C765C7" w:rsidRDefault="00C765C7" w:rsidP="00C765C7">
      <w:pPr>
        <w:pStyle w:val="PCAHeading2"/>
      </w:pPr>
      <w:r w:rsidRPr="0066080E">
        <w:t>Statements of Advice</w:t>
      </w:r>
      <w:r>
        <w:t xml:space="preserve"> </w:t>
      </w:r>
    </w:p>
    <w:p w14:paraId="20166F93" w14:textId="68B4A86C" w:rsidR="00C765C7" w:rsidRDefault="00C765C7" w:rsidP="00C765C7">
      <w:pPr>
        <w:pStyle w:val="PCABodyText"/>
      </w:pPr>
      <w:r>
        <w:t>Where we provide financial product advice to you for the first time, or where the advice we provide to you is in the context of your circumstances, objectives or needs being significantly different to the previous advice we provided you, or where the basis of the advice we provide is significantly different to the advice we previously provided to you, we will give you a Statement of Advice (SOA). In this SOA we will tell you about:</w:t>
      </w:r>
    </w:p>
    <w:p w14:paraId="17C31FDD" w14:textId="77777777" w:rsidR="00C765C7" w:rsidRDefault="00C765C7" w:rsidP="00C765C7">
      <w:pPr>
        <w:pStyle w:val="PCABodyText"/>
      </w:pPr>
    </w:p>
    <w:p w14:paraId="33AA235F" w14:textId="77777777" w:rsidR="00C765C7" w:rsidRPr="00F42198" w:rsidRDefault="00C765C7" w:rsidP="00C765C7">
      <w:pPr>
        <w:pStyle w:val="PCABodyTextBullet1"/>
      </w:pPr>
      <w:r w:rsidRPr="00F42198">
        <w:t>Our advice and basis of advice;</w:t>
      </w:r>
    </w:p>
    <w:p w14:paraId="211BD54C" w14:textId="77777777" w:rsidR="00C765C7" w:rsidRPr="00F42198" w:rsidRDefault="00C765C7" w:rsidP="00C765C7">
      <w:pPr>
        <w:pStyle w:val="PCABodyTextBullet1"/>
      </w:pPr>
      <w:r w:rsidRPr="00F42198">
        <w:t>Our fees and commissions; and</w:t>
      </w:r>
    </w:p>
    <w:p w14:paraId="43D279A9" w14:textId="77777777" w:rsidR="00C765C7" w:rsidRPr="00F42198" w:rsidRDefault="00C765C7" w:rsidP="00C765C7">
      <w:pPr>
        <w:pStyle w:val="PCABodyTextBullet1"/>
      </w:pPr>
      <w:r w:rsidRPr="00F42198">
        <w:t>Any associations we have with financial product issuers or other parties which may have influenced the advice we give you.</w:t>
      </w:r>
    </w:p>
    <w:p w14:paraId="7C9212F2" w14:textId="77777777" w:rsidR="00C765C7" w:rsidRPr="009D1A02" w:rsidRDefault="00C765C7" w:rsidP="00C765C7">
      <w:pPr>
        <w:pStyle w:val="PCABodyText"/>
      </w:pPr>
    </w:p>
    <w:p w14:paraId="0AEDC3DB" w14:textId="77777777" w:rsidR="00C765C7" w:rsidRPr="00C765C7" w:rsidRDefault="00C765C7" w:rsidP="00C765C7">
      <w:pPr>
        <w:pStyle w:val="PCAHeading2"/>
      </w:pPr>
      <w:r w:rsidRPr="00C765C7">
        <w:rPr>
          <w:rStyle w:val="Heading2Char"/>
          <w:rFonts w:ascii="Calibri" w:eastAsiaTheme="minorHAnsi" w:hAnsi="Calibri" w:cstheme="minorBidi"/>
          <w:color w:val="0070C0"/>
          <w:sz w:val="28"/>
          <w:szCs w:val="24"/>
        </w:rPr>
        <w:t>Record of Advice</w:t>
      </w:r>
    </w:p>
    <w:p w14:paraId="5E7F5870" w14:textId="346F9971" w:rsidR="00C765C7" w:rsidRDefault="00C765C7" w:rsidP="00C765C7">
      <w:pPr>
        <w:pStyle w:val="PCABodyText"/>
      </w:pPr>
      <w:r>
        <w:t>On an ongoing basis, a Record of Advice (ROA) will be used instead of an SOA, if there have been no significant changes in your personal circumstances or the basis of the advice has not significantly changed since the last SOA was provided to you. You have the right to request a copy of your ROA up to 7 years from the day on which the advice was provided to you by us.</w:t>
      </w:r>
    </w:p>
    <w:p w14:paraId="56709D26" w14:textId="77777777" w:rsidR="00C765C7" w:rsidRDefault="00C765C7" w:rsidP="00C765C7">
      <w:pPr>
        <w:pStyle w:val="PCABodyText"/>
      </w:pPr>
    </w:p>
    <w:p w14:paraId="39499A30" w14:textId="0D97063F" w:rsidR="00C765C7" w:rsidRPr="00C765C7" w:rsidRDefault="00C765C7" w:rsidP="00C765C7">
      <w:pPr>
        <w:pStyle w:val="PCAHeading2"/>
      </w:pPr>
      <w:r w:rsidRPr="00C765C7">
        <w:rPr>
          <w:rStyle w:val="Heading2Char"/>
          <w:rFonts w:ascii="Calibri" w:eastAsiaTheme="minorHAnsi" w:hAnsi="Calibri" w:cstheme="minorBidi"/>
          <w:color w:val="0070C0"/>
          <w:sz w:val="28"/>
          <w:szCs w:val="24"/>
        </w:rPr>
        <w:lastRenderedPageBreak/>
        <w:t>Product Disclosure Statements</w:t>
      </w:r>
    </w:p>
    <w:p w14:paraId="57AD060B" w14:textId="7272767A" w:rsidR="00C765C7" w:rsidRDefault="00C765C7" w:rsidP="00C765C7">
      <w:pPr>
        <w:pStyle w:val="PCABodyText"/>
      </w:pPr>
      <w:r>
        <w:t>If we make a recommendation to acquire a financial product, we will provide you with a Product Disclosure Statement (PDS) containing information about the particular financial product to help you make an informed decision about the acquisition of that financial product.</w:t>
      </w:r>
    </w:p>
    <w:p w14:paraId="2C381E6F" w14:textId="77777777" w:rsidR="00594701" w:rsidRDefault="00594701" w:rsidP="00C765C7">
      <w:pPr>
        <w:pStyle w:val="PCABodyText"/>
      </w:pPr>
    </w:p>
    <w:p w14:paraId="24CC39D4" w14:textId="5626739A" w:rsidR="00C765C7" w:rsidRDefault="00C765C7" w:rsidP="00C765C7">
      <w:pPr>
        <w:pStyle w:val="PCAHeading1"/>
      </w:pPr>
      <w:bookmarkStart w:id="1" w:name="_Toc104815727"/>
      <w:r>
        <w:t>Our Services</w:t>
      </w:r>
      <w:bookmarkEnd w:id="1"/>
    </w:p>
    <w:p w14:paraId="49D34DB6" w14:textId="77777777" w:rsidR="00C765C7" w:rsidRPr="009B1F9F" w:rsidRDefault="00C765C7" w:rsidP="00C765C7">
      <w:pPr>
        <w:pStyle w:val="PCAHeading2"/>
      </w:pPr>
      <w:r w:rsidRPr="009B1F9F">
        <w:t>Our Financial Planning and Advisory Services Can Assist You To:</w:t>
      </w:r>
    </w:p>
    <w:p w14:paraId="4A5914D6" w14:textId="77777777" w:rsidR="00C765C7" w:rsidRDefault="00C765C7" w:rsidP="00C765C7">
      <w:pPr>
        <w:pStyle w:val="PCABodyTextBullet1"/>
      </w:pPr>
      <w:r>
        <w:t>Identify your financial and investment objectives, taking into account your current financial position and personal circumstances;</w:t>
      </w:r>
    </w:p>
    <w:p w14:paraId="568127CA" w14:textId="77777777" w:rsidR="00C765C7" w:rsidRDefault="00C765C7" w:rsidP="00C765C7">
      <w:pPr>
        <w:pStyle w:val="PCABodyTextBullet1"/>
      </w:pPr>
      <w:r>
        <w:t>Help you to develop financial goals and investment strategies;</w:t>
      </w:r>
    </w:p>
    <w:p w14:paraId="33E04640" w14:textId="77777777" w:rsidR="00C765C7" w:rsidRDefault="00C765C7" w:rsidP="00C765C7">
      <w:pPr>
        <w:pStyle w:val="PCABodyTextBullet1"/>
      </w:pPr>
      <w:r>
        <w:t>Advise you how to implement your investment strategies; and</w:t>
      </w:r>
    </w:p>
    <w:p w14:paraId="3DF3E53C" w14:textId="77777777" w:rsidR="00C765C7" w:rsidRDefault="00C765C7" w:rsidP="00C765C7">
      <w:pPr>
        <w:pStyle w:val="PCABodyTextBullet1"/>
      </w:pPr>
      <w:r>
        <w:t>Recommend and arrange financial products that are suitable for your needs.</w:t>
      </w:r>
    </w:p>
    <w:p w14:paraId="50ADFC6C" w14:textId="77777777" w:rsidR="00C765C7" w:rsidRDefault="00C765C7" w:rsidP="00C765C7">
      <w:pPr>
        <w:pStyle w:val="PCABodyText"/>
      </w:pPr>
    </w:p>
    <w:p w14:paraId="3DB99BF8" w14:textId="77777777" w:rsidR="00C765C7" w:rsidRDefault="00C765C7" w:rsidP="00C765C7">
      <w:pPr>
        <w:pStyle w:val="PCAHeading2"/>
      </w:pPr>
      <w:r>
        <w:t>We Can Provide Advice in The Following Areas:</w:t>
      </w:r>
    </w:p>
    <w:p w14:paraId="14A13FAE" w14:textId="77777777" w:rsidR="00C765C7" w:rsidRDefault="00C765C7" w:rsidP="00C765C7">
      <w:pPr>
        <w:pStyle w:val="PCABodyTextBullet1"/>
      </w:pPr>
      <w:r>
        <w:t>Strategies to enhance your wealth including strategies to achieve asset accumulation, tax minimisation and liability management.</w:t>
      </w:r>
    </w:p>
    <w:p w14:paraId="0914ADBD" w14:textId="77777777" w:rsidR="00C765C7" w:rsidRDefault="00C765C7" w:rsidP="00C765C7">
      <w:pPr>
        <w:pStyle w:val="PCABodyTextBullet1"/>
      </w:pPr>
      <w:r>
        <w:t>Cash flow management and budgeting advice.</w:t>
      </w:r>
    </w:p>
    <w:p w14:paraId="7959CF9F" w14:textId="77777777" w:rsidR="00C765C7" w:rsidRDefault="00C765C7" w:rsidP="00C765C7">
      <w:pPr>
        <w:pStyle w:val="PCABodyTextBullet1"/>
      </w:pPr>
      <w:r>
        <w:t>Advice on life insurance in order to protect you and your family against the financial impact experienced as a result of accident, illness or death.</w:t>
      </w:r>
    </w:p>
    <w:p w14:paraId="057F0E29" w14:textId="77777777" w:rsidR="00C765C7" w:rsidRDefault="00C765C7" w:rsidP="00C765C7">
      <w:pPr>
        <w:pStyle w:val="PCABodyTextBullet1"/>
      </w:pPr>
      <w:r>
        <w:t>Advice on structuring your investments and superannuation benefits for maximum effectiveness and flexibility.</w:t>
      </w:r>
    </w:p>
    <w:p w14:paraId="764EF70F" w14:textId="460C63C1" w:rsidR="00C765C7" w:rsidRDefault="00C765C7" w:rsidP="00C765C7">
      <w:pPr>
        <w:pStyle w:val="PCABodyTextBullet1"/>
      </w:pPr>
      <w:r>
        <w:t>Investment consulting advice focused on ensuring that you hold appropriate investments</w:t>
      </w:r>
      <w:r w:rsidR="00C119B2">
        <w:t>*</w:t>
      </w:r>
      <w:r>
        <w:t xml:space="preserve"> in order to achieve your financial goals.</w:t>
      </w:r>
    </w:p>
    <w:p w14:paraId="4E68F52E" w14:textId="77777777" w:rsidR="00C765C7" w:rsidRDefault="00C765C7" w:rsidP="00C765C7">
      <w:pPr>
        <w:pStyle w:val="PCABodyTextBullet1"/>
      </w:pPr>
      <w:r>
        <w:t>Administration and reporting on investment portfolios and self-managed superannuation funds.</w:t>
      </w:r>
    </w:p>
    <w:p w14:paraId="2B92D3EF" w14:textId="260C1DCE" w:rsidR="00C765C7" w:rsidRDefault="00C765C7" w:rsidP="00C765C7">
      <w:pPr>
        <w:pStyle w:val="PCABodyText"/>
      </w:pPr>
    </w:p>
    <w:p w14:paraId="3C97A3BE" w14:textId="203FFAEC" w:rsidR="00FE6DF1" w:rsidRDefault="00FE6DF1" w:rsidP="00FE6DF1">
      <w:pPr>
        <w:pStyle w:val="PCABodyText"/>
      </w:pPr>
      <w:r>
        <w:t>* Private Capital Advisers</w:t>
      </w:r>
      <w:r w:rsidRPr="00FE6DF1">
        <w:t xml:space="preserve"> and its advisers will not provide you with any advice on crypto-assets</w:t>
      </w:r>
      <w:r>
        <w:t xml:space="preserve"> and direct real property. </w:t>
      </w:r>
    </w:p>
    <w:p w14:paraId="39E03B4F" w14:textId="77777777" w:rsidR="00FE6DF1" w:rsidRDefault="00FE6DF1" w:rsidP="00C765C7">
      <w:pPr>
        <w:pStyle w:val="PCABodyText"/>
      </w:pPr>
    </w:p>
    <w:p w14:paraId="3AD932B8" w14:textId="3DCAFA97" w:rsidR="00C765C7" w:rsidRDefault="00C765C7" w:rsidP="00C765C7">
      <w:pPr>
        <w:pStyle w:val="PCABodyText"/>
      </w:pPr>
      <w:r>
        <w:t xml:space="preserve">Private Capital Advisers is authorised to provide financial services which includes providing advice and dealing in the following financial products by applying for, acquiring, </w:t>
      </w:r>
      <w:r w:rsidR="00D658FD">
        <w:t>varying,</w:t>
      </w:r>
      <w:r>
        <w:t xml:space="preserve"> or disposing of on behalf of another person:</w:t>
      </w:r>
    </w:p>
    <w:p w14:paraId="397B8DD8" w14:textId="77777777" w:rsidR="00C765C7" w:rsidRDefault="00C765C7" w:rsidP="00C765C7">
      <w:pPr>
        <w:pStyle w:val="PCABodyText"/>
      </w:pPr>
    </w:p>
    <w:p w14:paraId="53FD5881" w14:textId="77777777" w:rsidR="00C765C7" w:rsidRDefault="00C765C7" w:rsidP="00C765C7">
      <w:pPr>
        <w:pStyle w:val="PCABodyTextBullet1"/>
      </w:pPr>
      <w:r>
        <w:t>Deposit and Payment Products – Basic and non-basic deposit products;</w:t>
      </w:r>
    </w:p>
    <w:p w14:paraId="3939402E" w14:textId="77777777" w:rsidR="00C765C7" w:rsidRDefault="00C765C7" w:rsidP="00C765C7">
      <w:pPr>
        <w:pStyle w:val="PCABodyTextBullet1"/>
      </w:pPr>
      <w:r>
        <w:t>Government debentures, stocks and bonds;</w:t>
      </w:r>
    </w:p>
    <w:p w14:paraId="645FED17" w14:textId="77777777" w:rsidR="00C765C7" w:rsidRDefault="00C765C7" w:rsidP="00C765C7">
      <w:pPr>
        <w:pStyle w:val="PCABodyTextBullet1"/>
      </w:pPr>
      <w:r>
        <w:t>Life products – Investment life risk insurance products and life risk insurance products;</w:t>
      </w:r>
    </w:p>
    <w:p w14:paraId="4F177707" w14:textId="77777777" w:rsidR="00C765C7" w:rsidRDefault="00C765C7" w:rsidP="00C765C7">
      <w:pPr>
        <w:pStyle w:val="PCABodyTextBullet1"/>
      </w:pPr>
      <w:r>
        <w:t>Interests in managed investment schemes including investor directed portfolio services;</w:t>
      </w:r>
    </w:p>
    <w:p w14:paraId="523E220E" w14:textId="77777777" w:rsidR="00C765C7" w:rsidRDefault="00C765C7" w:rsidP="00C765C7">
      <w:pPr>
        <w:pStyle w:val="PCABodyTextBullet1"/>
      </w:pPr>
      <w:r>
        <w:t>Retirement savings accounts;</w:t>
      </w:r>
    </w:p>
    <w:p w14:paraId="34AD5D1C" w14:textId="77777777" w:rsidR="00C765C7" w:rsidRDefault="00C765C7" w:rsidP="00C765C7">
      <w:pPr>
        <w:pStyle w:val="PCABodyTextBullet1"/>
      </w:pPr>
      <w:r>
        <w:t>Securities;</w:t>
      </w:r>
    </w:p>
    <w:p w14:paraId="79D9D5D5" w14:textId="77777777" w:rsidR="00C765C7" w:rsidRDefault="00C765C7" w:rsidP="00C765C7">
      <w:pPr>
        <w:pStyle w:val="PCABodyTextBullet1"/>
      </w:pPr>
      <w:r>
        <w:t>Superannuation - including Self-Managed Superannuation Funds; and</w:t>
      </w:r>
    </w:p>
    <w:p w14:paraId="34ED4457" w14:textId="77777777" w:rsidR="00C765C7" w:rsidRDefault="00C765C7" w:rsidP="00C765C7">
      <w:pPr>
        <w:pStyle w:val="PCABodyTextBullet1"/>
      </w:pPr>
      <w:r>
        <w:t>Margin lending.</w:t>
      </w:r>
    </w:p>
    <w:p w14:paraId="0D63901B" w14:textId="77777777" w:rsidR="00C765C7" w:rsidRDefault="00C765C7" w:rsidP="00C765C7">
      <w:pPr>
        <w:pStyle w:val="PCABodyText"/>
      </w:pPr>
    </w:p>
    <w:p w14:paraId="3F9C0EC3" w14:textId="77777777" w:rsidR="00C765C7" w:rsidRDefault="00C765C7" w:rsidP="00C765C7">
      <w:pPr>
        <w:pStyle w:val="PCABodyText"/>
      </w:pPr>
      <w:r>
        <w:t xml:space="preserve">We act for you when providing financial services to you. </w:t>
      </w:r>
    </w:p>
    <w:p w14:paraId="6B178DFA" w14:textId="77777777" w:rsidR="00FE6DF1" w:rsidRDefault="00FE6DF1" w:rsidP="00C765C7">
      <w:pPr>
        <w:pStyle w:val="PCABodyText"/>
      </w:pPr>
    </w:p>
    <w:p w14:paraId="60EF1618" w14:textId="5D1E29CA" w:rsidR="00C765C7" w:rsidRDefault="00195AE6" w:rsidP="00C765C7">
      <w:pPr>
        <w:pStyle w:val="PCABodyText"/>
      </w:pPr>
      <w:r w:rsidRPr="00195AE6">
        <w:rPr>
          <w:rFonts w:ascii="Lucida Sans Unicode" w:eastAsia="Times New Roman" w:hAnsi="Lucida Sans Unicode" w:cs="Lucida Sans Unicode"/>
          <w:color w:val="FFFFFF" w:themeColor="background1"/>
          <w:sz w:val="21"/>
          <w:szCs w:val="21"/>
        </w:rPr>
        <w:t>{$</w:t>
      </w:r>
      <w:proofErr w:type="spellStart"/>
      <w:r w:rsidRPr="00195AE6">
        <w:rPr>
          <w:rFonts w:ascii="Lucida Sans Unicode" w:eastAsia="Times New Roman" w:hAnsi="Lucida Sans Unicode" w:cs="Lucida Sans Unicode"/>
          <w:color w:val="FFFFFF" w:themeColor="background1"/>
          <w:sz w:val="21"/>
          <w:szCs w:val="21"/>
        </w:rPr>
        <w:t>Clients.Name</w:t>
      </w:r>
      <w:proofErr w:type="spellEnd"/>
      <w:r w:rsidRPr="00195AE6">
        <w:rPr>
          <w:rFonts w:ascii="Lucida Sans Unicode" w:eastAsia="Times New Roman" w:hAnsi="Lucida Sans Unicode" w:cs="Lucida Sans Unicode"/>
          <w:color w:val="FFFFFF" w:themeColor="background1"/>
          <w:sz w:val="21"/>
          <w:szCs w:val="21"/>
        </w:rPr>
        <w:t xml:space="preserve">} </w:t>
      </w:r>
      <w:r w:rsidR="00C765C7">
        <w:br w:type="page"/>
      </w:r>
    </w:p>
    <w:p w14:paraId="4F2F8CF4" w14:textId="77777777" w:rsidR="00C765C7" w:rsidRDefault="00C765C7" w:rsidP="00C765C7">
      <w:pPr>
        <w:pStyle w:val="PCAHeading1"/>
      </w:pPr>
      <w:bookmarkStart w:id="2" w:name="_Toc104815728"/>
      <w:r>
        <w:lastRenderedPageBreak/>
        <w:t>How Can You Deal With Us?</w:t>
      </w:r>
      <w:bookmarkEnd w:id="2"/>
    </w:p>
    <w:p w14:paraId="6E3F5E9B" w14:textId="2EFC41C2" w:rsidR="00C765C7" w:rsidRDefault="00C765C7" w:rsidP="00C765C7">
      <w:pPr>
        <w:pStyle w:val="PCABodyTextBullet1"/>
      </w:pPr>
      <w:r>
        <w:t xml:space="preserve">You can provide us with instructions in person, by phone, </w:t>
      </w:r>
      <w:r w:rsidR="00D658FD">
        <w:t>fax,</w:t>
      </w:r>
      <w:r>
        <w:t xml:space="preserve"> or email.</w:t>
      </w:r>
    </w:p>
    <w:p w14:paraId="101D44B7" w14:textId="77777777" w:rsidR="00C765C7" w:rsidRDefault="00C765C7" w:rsidP="00C765C7">
      <w:pPr>
        <w:pStyle w:val="PCABodyTextBullet1"/>
      </w:pPr>
      <w:r>
        <w:t>It is important that you provide us with complete and accurate information about your personal objectives, details of your current financial situation and any other relevant information, so that we can offer you the most appropriate advice possible.</w:t>
      </w:r>
    </w:p>
    <w:p w14:paraId="4DE1E33E" w14:textId="4D31CA98" w:rsidR="00C765C7" w:rsidRDefault="00C765C7" w:rsidP="00C765C7">
      <w:pPr>
        <w:pStyle w:val="PCABodyTextBullet1"/>
      </w:pPr>
      <w:r>
        <w:t xml:space="preserve">You have the right not to tell us </w:t>
      </w:r>
      <w:r w:rsidR="00D658FD">
        <w:t>information if</w:t>
      </w:r>
      <w:r>
        <w:t xml:space="preserve"> you do not wish to. However, if you do not, the advice you receive may not be appropriate to your needs, </w:t>
      </w:r>
      <w:r w:rsidR="00D658FD">
        <w:t>objectives,</w:t>
      </w:r>
      <w:r>
        <w:t xml:space="preserve"> and financial situation. If you choose not to provide complete and accurate information about your circumstances, need or objectives, the onus passes to you to consider the appropriateness of the advice having regard to your circumstances, needs and objectives.</w:t>
      </w:r>
    </w:p>
    <w:p w14:paraId="6DD7954A" w14:textId="77777777" w:rsidR="00C765C7" w:rsidRDefault="00C765C7" w:rsidP="00C765C7">
      <w:pPr>
        <w:pStyle w:val="PCABodyTextBullet1"/>
      </w:pPr>
      <w:r>
        <w:t>You should seriously consider any warning that we provide in relation to this matter before making a decision relating to financial products.</w:t>
      </w:r>
    </w:p>
    <w:p w14:paraId="02873AF0" w14:textId="77777777" w:rsidR="00C765C7" w:rsidRDefault="00C765C7" w:rsidP="00C765C7">
      <w:pPr>
        <w:pStyle w:val="PCABodyTextBullet1"/>
      </w:pPr>
      <w:r>
        <w:t xml:space="preserve">We recommend that you review your financial products and insurance policies at least annually. </w:t>
      </w:r>
    </w:p>
    <w:p w14:paraId="18ECB0D4" w14:textId="0A360D7A" w:rsidR="00C765C7" w:rsidRDefault="00C765C7" w:rsidP="00C765C7">
      <w:pPr>
        <w:pStyle w:val="PCABodyTextBullet1"/>
      </w:pPr>
      <w:r>
        <w:t xml:space="preserve">Furthermore, if there are any significant changes to your personal </w:t>
      </w:r>
      <w:r w:rsidR="00D658FD">
        <w:t>circumstances,</w:t>
      </w:r>
      <w:r>
        <w:t xml:space="preserve"> we recommend you contact us as alterations to your financial strategies and investment and risk insurance portfolios may be required. </w:t>
      </w:r>
    </w:p>
    <w:p w14:paraId="4B486BDD" w14:textId="77777777" w:rsidR="00C765C7" w:rsidRDefault="00C765C7" w:rsidP="00C765C7">
      <w:pPr>
        <w:pStyle w:val="ListBullet"/>
      </w:pPr>
    </w:p>
    <w:p w14:paraId="345EECA1" w14:textId="77777777" w:rsidR="00C765C7" w:rsidRPr="009B1F9F" w:rsidRDefault="00C765C7" w:rsidP="00C765C7">
      <w:pPr>
        <w:pStyle w:val="PCAHeading1"/>
      </w:pPr>
      <w:bookmarkStart w:id="3" w:name="_Toc104815729"/>
      <w:r w:rsidRPr="009B1F9F">
        <w:t>How Are We Paid?</w:t>
      </w:r>
      <w:bookmarkEnd w:id="3"/>
    </w:p>
    <w:tbl>
      <w:tblPr>
        <w:tblStyle w:val="PCA-TABLE-4"/>
        <w:tblW w:w="9350" w:type="dxa"/>
        <w:tblCellMar>
          <w:top w:w="57" w:type="dxa"/>
          <w:bottom w:w="57" w:type="dxa"/>
        </w:tblCellMar>
        <w:tblLook w:val="04A0" w:firstRow="1" w:lastRow="0" w:firstColumn="1" w:lastColumn="0" w:noHBand="0" w:noVBand="1"/>
      </w:tblPr>
      <w:tblGrid>
        <w:gridCol w:w="2790"/>
        <w:gridCol w:w="6560"/>
      </w:tblGrid>
      <w:tr w:rsidR="00C765C7" w:rsidRPr="00E85C6C" w14:paraId="17C93685" w14:textId="77777777" w:rsidTr="007353F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90" w:type="dxa"/>
          </w:tcPr>
          <w:p w14:paraId="38A8B32E" w14:textId="77777777" w:rsidR="00C765C7" w:rsidRPr="00E85C6C" w:rsidRDefault="00C765C7" w:rsidP="007353F8">
            <w:pPr>
              <w:pStyle w:val="PCATableHeading1"/>
              <w:spacing w:after="120"/>
            </w:pPr>
            <w:r>
              <w:t xml:space="preserve">Financial Planning and Investment Services </w:t>
            </w:r>
          </w:p>
        </w:tc>
        <w:tc>
          <w:tcPr>
            <w:tcW w:w="6560" w:type="dxa"/>
          </w:tcPr>
          <w:p w14:paraId="3AEECB9F" w14:textId="77777777" w:rsidR="00C765C7" w:rsidRPr="00C765C7" w:rsidRDefault="00C765C7" w:rsidP="0013552C">
            <w:pPr>
              <w:pStyle w:val="PCATableBodyText"/>
              <w:cnfStyle w:val="100000000000" w:firstRow="1" w:lastRow="0" w:firstColumn="0" w:lastColumn="0" w:oddVBand="0" w:evenVBand="0" w:oddHBand="0" w:evenHBand="0" w:firstRowFirstColumn="0" w:firstRowLastColumn="0" w:lastRowFirstColumn="0" w:lastRowLastColumn="0"/>
            </w:pPr>
            <w:r w:rsidRPr="00C765C7">
              <w:t>We charge for our financial planning and investment services on the basis of the time that we spend looking after your needs. The rate will depend on the nature of the services you ask us to provide, for example:</w:t>
            </w:r>
          </w:p>
          <w:p w14:paraId="7606596B" w14:textId="4A4E2402" w:rsidR="00C765C7" w:rsidRPr="00C765C7" w:rsidRDefault="00C765C7" w:rsidP="0013552C">
            <w:pPr>
              <w:pStyle w:val="PCATableBodyText"/>
              <w:cnfStyle w:val="100000000000" w:firstRow="1" w:lastRow="0" w:firstColumn="0" w:lastColumn="0" w:oddVBand="0" w:evenVBand="0" w:oddHBand="0" w:evenHBand="0" w:firstRowFirstColumn="0" w:firstRowLastColumn="0" w:lastRowFirstColumn="0" w:lastRowLastColumn="0"/>
            </w:pPr>
            <w:r w:rsidRPr="00C765C7">
              <w:rPr>
                <w:rStyle w:val="Heading2Char"/>
                <w:rFonts w:ascii="Calibri" w:eastAsiaTheme="minorHAnsi" w:hAnsi="Calibri" w:cstheme="minorBidi"/>
                <w:color w:val="000000" w:themeColor="text1"/>
                <w:sz w:val="20"/>
                <w:szCs w:val="24"/>
              </w:rPr>
              <w:t>Initial advice fee</w:t>
            </w:r>
            <w:r w:rsidRPr="00C765C7">
              <w:t xml:space="preserve"> - For our initial consultation and preparation of a written SOA we charge a fee</w:t>
            </w:r>
            <w:r w:rsidR="00727CDF">
              <w:t xml:space="preserve">. </w:t>
            </w:r>
            <w:r w:rsidRPr="00C765C7">
              <w:t xml:space="preserve"> </w:t>
            </w:r>
            <w:r w:rsidR="00727CDF">
              <w:t>T</w:t>
            </w:r>
            <w:r w:rsidRPr="00C765C7">
              <w:t>hat fee will depend on the complexity of the advice provided to you. Typically, this fee will range from $550 to $3,300.</w:t>
            </w:r>
          </w:p>
          <w:p w14:paraId="6CA142B9" w14:textId="46B51BC3" w:rsidR="00C765C7" w:rsidRPr="00C765C7" w:rsidRDefault="00C765C7" w:rsidP="0013552C">
            <w:pPr>
              <w:pStyle w:val="PCATableBodyText"/>
              <w:cnfStyle w:val="100000000000" w:firstRow="1" w:lastRow="0" w:firstColumn="0" w:lastColumn="0" w:oddVBand="0" w:evenVBand="0" w:oddHBand="0" w:evenHBand="0" w:firstRowFirstColumn="0" w:firstRowLastColumn="0" w:lastRowFirstColumn="0" w:lastRowLastColumn="0"/>
            </w:pPr>
            <w:r w:rsidRPr="00C765C7">
              <w:rPr>
                <w:rStyle w:val="Heading2Char"/>
                <w:rFonts w:ascii="Calibri" w:eastAsiaTheme="minorHAnsi" w:hAnsi="Calibri" w:cstheme="minorBidi"/>
                <w:color w:val="000000" w:themeColor="text1"/>
                <w:sz w:val="20"/>
                <w:szCs w:val="24"/>
              </w:rPr>
              <w:t xml:space="preserve">Implementation fee </w:t>
            </w:r>
            <w:r w:rsidRPr="00C765C7">
              <w:t>- If you elect to proceed with the recommendations contained within your SOA, implementation fees may be payable. An implementation fee of between 0.25% and 1.1% of amounts invested on your behalf may be incurred, which means if you invest $1000 through our firm, the maximum implementation fee would be $11. Full details of applicable fees will be set out in your SOA.</w:t>
            </w:r>
          </w:p>
          <w:p w14:paraId="01899FEF" w14:textId="3347E35F" w:rsidR="00C765C7" w:rsidRPr="005552F8" w:rsidRDefault="00C765C7" w:rsidP="0013552C">
            <w:pPr>
              <w:pStyle w:val="PCATableBodyText"/>
              <w:cnfStyle w:val="100000000000" w:firstRow="1" w:lastRow="0" w:firstColumn="0" w:lastColumn="0" w:oddVBand="0" w:evenVBand="0" w:oddHBand="0" w:evenHBand="0" w:firstRowFirstColumn="0" w:firstRowLastColumn="0" w:lastRowFirstColumn="0" w:lastRowLastColumn="0"/>
            </w:pPr>
            <w:r w:rsidRPr="00C765C7">
              <w:rPr>
                <w:rStyle w:val="Heading2Char"/>
                <w:rFonts w:ascii="Calibri" w:eastAsiaTheme="minorHAnsi" w:hAnsi="Calibri" w:cstheme="minorBidi"/>
                <w:color w:val="000000" w:themeColor="text1"/>
                <w:sz w:val="20"/>
                <w:szCs w:val="24"/>
              </w:rPr>
              <w:t>Ongoing advice fee</w:t>
            </w:r>
            <w:r w:rsidRPr="00C765C7">
              <w:t xml:space="preserve"> - Our ongoing advice fee is based on a 1.1% p.a. of funds under management or an agreed fixed annual fee. This means if you invest $100,000 through our firm, and the ongoing advice fee is 1.1</w:t>
            </w:r>
            <w:proofErr w:type="gramStart"/>
            <w:r w:rsidRPr="00C765C7">
              <w:t>%</w:t>
            </w:r>
            <w:r w:rsidR="0013552C">
              <w:t xml:space="preserve"> </w:t>
            </w:r>
            <w:r w:rsidRPr="00C765C7">
              <w:t xml:space="preserve"> your</w:t>
            </w:r>
            <w:proofErr w:type="gramEnd"/>
            <w:r w:rsidRPr="00C765C7">
              <w:t xml:space="preserve"> annual fee will be $1,100 p</w:t>
            </w:r>
            <w:r w:rsidR="001D2250">
              <w:t>.a.</w:t>
            </w:r>
            <w:r w:rsidRPr="00C765C7">
              <w:t>. If applicable, full details will be set out in your SOA.</w:t>
            </w:r>
            <w:r>
              <w:t xml:space="preserve"> </w:t>
            </w:r>
          </w:p>
        </w:tc>
      </w:tr>
      <w:tr w:rsidR="00C765C7" w:rsidRPr="00E85C6C" w14:paraId="0C39D6D6" w14:textId="77777777" w:rsidTr="007353F8">
        <w:trPr>
          <w:trHeight w:val="454"/>
        </w:trPr>
        <w:tc>
          <w:tcPr>
            <w:cnfStyle w:val="001000000000" w:firstRow="0" w:lastRow="0" w:firstColumn="1" w:lastColumn="0" w:oddVBand="0" w:evenVBand="0" w:oddHBand="0" w:evenHBand="0" w:firstRowFirstColumn="0" w:firstRowLastColumn="0" w:lastRowFirstColumn="0" w:lastRowLastColumn="0"/>
            <w:tcW w:w="2790" w:type="dxa"/>
          </w:tcPr>
          <w:p w14:paraId="1D3D439E" w14:textId="77777777" w:rsidR="00C765C7" w:rsidRDefault="00C765C7" w:rsidP="007353F8">
            <w:pPr>
              <w:pStyle w:val="PCATableHeading1"/>
              <w:spacing w:after="120"/>
            </w:pPr>
            <w:r>
              <w:t>Share Transactions</w:t>
            </w:r>
          </w:p>
        </w:tc>
        <w:tc>
          <w:tcPr>
            <w:tcW w:w="6560" w:type="dxa"/>
          </w:tcPr>
          <w:p w14:paraId="5257C553" w14:textId="2D293CC4" w:rsidR="00C765C7" w:rsidRPr="00C765C7" w:rsidRDefault="00C765C7" w:rsidP="0013552C">
            <w:pPr>
              <w:pStyle w:val="PCATableBodyText"/>
              <w:cnfStyle w:val="000000000000" w:firstRow="0" w:lastRow="0" w:firstColumn="0" w:lastColumn="0" w:oddVBand="0" w:evenVBand="0" w:oddHBand="0" w:evenHBand="0" w:firstRowFirstColumn="0" w:firstRowLastColumn="0" w:lastRowFirstColumn="0" w:lastRowLastColumn="0"/>
            </w:pPr>
            <w:r w:rsidRPr="00C765C7">
              <w:t xml:space="preserve">If we recommend you buy or sell shares, we will charge a dealing fee on each share transaction we execute on your behalf. The dealing fee is charged at a rate of up to 1.10%, subject to a minimum fee of $110. For example, if you trade $10,000 of shares then </w:t>
            </w:r>
            <w:r w:rsidR="001D2250">
              <w:t xml:space="preserve">your </w:t>
            </w:r>
            <w:r w:rsidRPr="00C765C7">
              <w:t>fee will be $110. If applicable, full details will be set out in your written SOA.</w:t>
            </w:r>
          </w:p>
        </w:tc>
      </w:tr>
      <w:tr w:rsidR="00C765C7" w:rsidRPr="00E85C6C" w14:paraId="0FEBA3CB" w14:textId="77777777" w:rsidTr="007353F8">
        <w:trPr>
          <w:trHeight w:val="454"/>
        </w:trPr>
        <w:tc>
          <w:tcPr>
            <w:cnfStyle w:val="001000000000" w:firstRow="0" w:lastRow="0" w:firstColumn="1" w:lastColumn="0" w:oddVBand="0" w:evenVBand="0" w:oddHBand="0" w:evenHBand="0" w:firstRowFirstColumn="0" w:firstRowLastColumn="0" w:lastRowFirstColumn="0" w:lastRowLastColumn="0"/>
            <w:tcW w:w="2790" w:type="dxa"/>
          </w:tcPr>
          <w:p w14:paraId="21F38B16" w14:textId="77777777" w:rsidR="00C765C7" w:rsidRDefault="00C765C7" w:rsidP="007353F8">
            <w:pPr>
              <w:pStyle w:val="PCATableHeading1"/>
              <w:spacing w:after="120"/>
            </w:pPr>
            <w:r>
              <w:t>Life Insurance Services</w:t>
            </w:r>
          </w:p>
        </w:tc>
        <w:tc>
          <w:tcPr>
            <w:tcW w:w="6560" w:type="dxa"/>
          </w:tcPr>
          <w:p w14:paraId="172B9F70" w14:textId="2E5421E3" w:rsidR="00C765C7" w:rsidRDefault="00C765C7" w:rsidP="0013552C">
            <w:pPr>
              <w:pStyle w:val="PCATableBodyText"/>
              <w:cnfStyle w:val="000000000000" w:firstRow="0" w:lastRow="0" w:firstColumn="0" w:lastColumn="0" w:oddVBand="0" w:evenVBand="0" w:oddHBand="0" w:evenHBand="0" w:firstRowFirstColumn="0" w:firstRowLastColumn="0" w:lastRowFirstColumn="0" w:lastRowLastColumn="0"/>
            </w:pPr>
            <w:r w:rsidRPr="00D15B76">
              <w:t>We may receive upfront and ongoing commission payments for insurance products implemented on your behalf. The ongoing commission</w:t>
            </w:r>
            <w:r>
              <w:t>s</w:t>
            </w:r>
            <w:r w:rsidRPr="00D15B76">
              <w:t xml:space="preserve"> will </w:t>
            </w:r>
            <w:r w:rsidRPr="00D15B76">
              <w:lastRenderedPageBreak/>
              <w:t xml:space="preserve">continue to be received by us whilst </w:t>
            </w:r>
            <w:r w:rsidR="00467D84">
              <w:t xml:space="preserve">Private Capital Advisers </w:t>
            </w:r>
            <w:r w:rsidR="00467D84" w:rsidRPr="00467D84">
              <w:t>is listed as the servicing adviser</w:t>
            </w:r>
            <w:r w:rsidRPr="00D15B76">
              <w:t>.</w:t>
            </w:r>
          </w:p>
          <w:p w14:paraId="38D14947" w14:textId="3D75E76F" w:rsidR="00467D84" w:rsidRDefault="00467D84" w:rsidP="0013552C">
            <w:pPr>
              <w:pStyle w:val="PCATableBodyText"/>
              <w:cnfStyle w:val="000000000000" w:firstRow="0" w:lastRow="0" w:firstColumn="0" w:lastColumn="0" w:oddVBand="0" w:evenVBand="0" w:oddHBand="0" w:evenHBand="0" w:firstRowFirstColumn="0" w:firstRowLastColumn="0" w:lastRowFirstColumn="0" w:lastRowLastColumn="0"/>
            </w:pPr>
            <w:r>
              <w:t>Private Capital Advisers may receive an upfront commission of up to 66% of the first year's annual premium and up to 22% per annum of the annual premium thereafter. In most cases, yearly premiums will increase on the anniversary of the policy, which means Private Capital Advisers' annual ongoing commission will increase also, in line with the premium increase.</w:t>
            </w:r>
          </w:p>
          <w:p w14:paraId="36EF2859" w14:textId="07E01566" w:rsidR="00C765C7" w:rsidRPr="005552F8" w:rsidRDefault="00467D84" w:rsidP="0013552C">
            <w:pPr>
              <w:pStyle w:val="PCATableBodyText"/>
              <w:cnfStyle w:val="000000000000" w:firstRow="0" w:lastRow="0" w:firstColumn="0" w:lastColumn="0" w:oddVBand="0" w:evenVBand="0" w:oddHBand="0" w:evenHBand="0" w:firstRowFirstColumn="0" w:firstRowLastColumn="0" w:lastRowFirstColumn="0" w:lastRowLastColumn="0"/>
            </w:pPr>
            <w:r>
              <w:t xml:space="preserve">For example: If the initial and annual income protection insurance premium was $1,500 per annum, Private Capital Advisers would receive an upfront commission of $990 in that year and an ongoing commission of approximately $330 per annum each year the policy is in force.  </w:t>
            </w:r>
            <w:r w:rsidR="00C765C7" w:rsidRPr="005552F8">
              <w:t>If applicable, full details will be set out in your written SOA.</w:t>
            </w:r>
          </w:p>
        </w:tc>
      </w:tr>
      <w:tr w:rsidR="00C765C7" w:rsidRPr="00E85C6C" w14:paraId="277A8A41" w14:textId="77777777" w:rsidTr="007353F8">
        <w:trPr>
          <w:trHeight w:val="454"/>
        </w:trPr>
        <w:tc>
          <w:tcPr>
            <w:cnfStyle w:val="001000000000" w:firstRow="0" w:lastRow="0" w:firstColumn="1" w:lastColumn="0" w:oddVBand="0" w:evenVBand="0" w:oddHBand="0" w:evenHBand="0" w:firstRowFirstColumn="0" w:firstRowLastColumn="0" w:lastRowFirstColumn="0" w:lastRowLastColumn="0"/>
            <w:tcW w:w="2790" w:type="dxa"/>
          </w:tcPr>
          <w:p w14:paraId="5DF764D5" w14:textId="77777777" w:rsidR="00C765C7" w:rsidRDefault="00C765C7" w:rsidP="007353F8">
            <w:pPr>
              <w:pStyle w:val="PCATableHeading1"/>
              <w:spacing w:after="120"/>
            </w:pPr>
            <w:r>
              <w:lastRenderedPageBreak/>
              <w:t>Capital Raising</w:t>
            </w:r>
          </w:p>
        </w:tc>
        <w:tc>
          <w:tcPr>
            <w:tcW w:w="6560" w:type="dxa"/>
          </w:tcPr>
          <w:p w14:paraId="76E42128" w14:textId="3AA1925E" w:rsidR="00C765C7" w:rsidRPr="005552F8" w:rsidRDefault="00C765C7" w:rsidP="0013552C">
            <w:pPr>
              <w:pStyle w:val="PCATableBodyText"/>
              <w:cnfStyle w:val="000000000000" w:firstRow="0" w:lastRow="0" w:firstColumn="0" w:lastColumn="0" w:oddVBand="0" w:evenVBand="0" w:oddHBand="0" w:evenHBand="0" w:firstRowFirstColumn="0" w:firstRowLastColumn="0" w:lastRowFirstColumn="0" w:lastRowLastColumn="0"/>
            </w:pPr>
            <w:r w:rsidRPr="005552F8">
              <w:t>If we assist you with investing into a capital raising, we may receive an upfront capital raising placement fee. Typically, this placement fee will be a percentage of</w:t>
            </w:r>
            <w:r>
              <w:t xml:space="preserve"> funds raised.</w:t>
            </w:r>
          </w:p>
          <w:p w14:paraId="28D8FD4F" w14:textId="4B95BADA" w:rsidR="00C765C7" w:rsidRPr="005552F8" w:rsidRDefault="00C765C7" w:rsidP="0013552C">
            <w:pPr>
              <w:pStyle w:val="PCATableBodyText"/>
              <w:cnfStyle w:val="000000000000" w:firstRow="0" w:lastRow="0" w:firstColumn="0" w:lastColumn="0" w:oddVBand="0" w:evenVBand="0" w:oddHBand="0" w:evenHBand="0" w:firstRowFirstColumn="0" w:firstRowLastColumn="0" w:lastRowFirstColumn="0" w:lastRowLastColumn="0"/>
            </w:pPr>
            <w:r w:rsidRPr="005552F8">
              <w:t>This fee could be up to 2.20% which means if applicable we would be paid an upfront capital raising placement fee of up to $2,200 for each $100,000 of capital raised. If applicable, full details will be disclosed to you.</w:t>
            </w:r>
          </w:p>
        </w:tc>
      </w:tr>
    </w:tbl>
    <w:p w14:paraId="26EC20DA" w14:textId="0441ED91" w:rsidR="00C765C7" w:rsidRPr="000F523E" w:rsidRDefault="0013552C" w:rsidP="00C765C7">
      <w:pPr>
        <w:pStyle w:val="PCAHeading1"/>
        <w:rPr>
          <w:b w:val="0"/>
          <w:bCs/>
          <w:color w:val="000000" w:themeColor="text1"/>
          <w:sz w:val="20"/>
        </w:rPr>
      </w:pPr>
      <w:bookmarkStart w:id="4" w:name="_Toc104815730"/>
      <w:r>
        <w:rPr>
          <w:b w:val="0"/>
          <w:bCs/>
          <w:color w:val="000000" w:themeColor="text1"/>
          <w:sz w:val="20"/>
        </w:rPr>
        <w:t>All amounts noted above are inclusive of GST.</w:t>
      </w:r>
      <w:bookmarkEnd w:id="4"/>
    </w:p>
    <w:p w14:paraId="4BB50736" w14:textId="77777777" w:rsidR="00C765C7" w:rsidRDefault="00C765C7" w:rsidP="00C765C7">
      <w:pPr>
        <w:pStyle w:val="PCAHeading1"/>
      </w:pPr>
      <w:bookmarkStart w:id="5" w:name="_Toc104815731"/>
      <w:r>
        <w:t>Who We Pay?</w:t>
      </w:r>
      <w:bookmarkEnd w:id="5"/>
    </w:p>
    <w:tbl>
      <w:tblPr>
        <w:tblStyle w:val="PCA-TABLE-4"/>
        <w:tblW w:w="9350" w:type="dxa"/>
        <w:tblLayout w:type="fixed"/>
        <w:tblCellMar>
          <w:top w:w="57" w:type="dxa"/>
          <w:bottom w:w="57" w:type="dxa"/>
        </w:tblCellMar>
        <w:tblLook w:val="04A0" w:firstRow="1" w:lastRow="0" w:firstColumn="1" w:lastColumn="0" w:noHBand="0" w:noVBand="1"/>
      </w:tblPr>
      <w:tblGrid>
        <w:gridCol w:w="2790"/>
        <w:gridCol w:w="6560"/>
      </w:tblGrid>
      <w:tr w:rsidR="00C765C7" w:rsidRPr="00E85C6C" w14:paraId="00B2350F" w14:textId="77777777" w:rsidTr="007353F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790" w:type="dxa"/>
          </w:tcPr>
          <w:p w14:paraId="7AE28F69" w14:textId="77777777" w:rsidR="00C765C7" w:rsidRPr="00E00740" w:rsidRDefault="00C765C7" w:rsidP="007353F8">
            <w:pPr>
              <w:pStyle w:val="PCATableHeading1"/>
              <w:spacing w:after="120"/>
            </w:pPr>
            <w:bookmarkStart w:id="6" w:name="_Hlk499719133"/>
            <w:r w:rsidRPr="00E00740">
              <w:t>Advise</w:t>
            </w:r>
            <w:r w:rsidRPr="00F6652D">
              <w:rPr>
                <w:shd w:val="clear" w:color="auto" w:fill="DBE5F1" w:themeFill="accent1" w:themeFillTint="33"/>
              </w:rPr>
              <w:t>rs</w:t>
            </w:r>
          </w:p>
        </w:tc>
        <w:tc>
          <w:tcPr>
            <w:tcW w:w="6560" w:type="dxa"/>
          </w:tcPr>
          <w:p w14:paraId="60A4A574" w14:textId="77777777" w:rsidR="00C765C7" w:rsidRDefault="00C765C7" w:rsidP="0013552C">
            <w:pPr>
              <w:pStyle w:val="PCATableBodyText"/>
              <w:cnfStyle w:val="100000000000" w:firstRow="1" w:lastRow="0" w:firstColumn="0" w:lastColumn="0" w:oddVBand="0" w:evenVBand="0" w:oddHBand="0" w:evenHBand="0" w:firstRowFirstColumn="0" w:firstRowLastColumn="0" w:lastRowFirstColumn="0" w:lastRowLastColumn="0"/>
            </w:pPr>
            <w:r>
              <w:t>Our A</w:t>
            </w:r>
            <w:r w:rsidRPr="00F5364A">
              <w:t>dvisers are employees they are paid a salary and may be eligible to receive a performance bonus if they meet pre-set agreed key performance indicators or dividends if they are a shareholder in the business.</w:t>
            </w:r>
          </w:p>
          <w:p w14:paraId="276C4C27" w14:textId="77777777" w:rsidR="00C765C7" w:rsidRPr="00E85C6C" w:rsidRDefault="00C765C7" w:rsidP="0013552C">
            <w:pPr>
              <w:pStyle w:val="PCATableBodyText"/>
              <w:cnfStyle w:val="100000000000" w:firstRow="1" w:lastRow="0" w:firstColumn="0" w:lastColumn="0" w:oddVBand="0" w:evenVBand="0" w:oddHBand="0" w:evenHBand="0" w:firstRowFirstColumn="0" w:firstRowLastColumn="0" w:lastRowFirstColumn="0" w:lastRowLastColumn="0"/>
            </w:pPr>
            <w:r>
              <w:t>Peter Wright is the Principal of Private Capital Advisers. Peter is also a shareholder of Private Capital Advisers and maybe entitled to dividends.</w:t>
            </w:r>
          </w:p>
        </w:tc>
      </w:tr>
    </w:tbl>
    <w:p w14:paraId="3623E649" w14:textId="559CE11D" w:rsidR="00C765C7" w:rsidRDefault="00C765C7" w:rsidP="00C765C7">
      <w:pPr>
        <w:pStyle w:val="PCAHeading1"/>
      </w:pPr>
      <w:bookmarkStart w:id="7" w:name="_Toc104815732"/>
      <w:bookmarkEnd w:id="6"/>
      <w:r>
        <w:t>Further Details on Remuneration and Benefits Relating to Financial Services</w:t>
      </w:r>
      <w:bookmarkEnd w:id="7"/>
    </w:p>
    <w:p w14:paraId="1A464208" w14:textId="77777777" w:rsidR="00C765C7" w:rsidRDefault="00C765C7" w:rsidP="00C765C7">
      <w:pPr>
        <w:pStyle w:val="PCABodyText"/>
      </w:pPr>
      <w:r>
        <w:t>If remuneration is not ascertainable at the time this FSG is given and personal advice is given, then either of the following will occur:</w:t>
      </w:r>
    </w:p>
    <w:p w14:paraId="145FF9A3" w14:textId="77777777" w:rsidR="00C765C7" w:rsidRDefault="00C765C7" w:rsidP="00C765C7">
      <w:pPr>
        <w:pStyle w:val="PCABodyTextBullet1"/>
      </w:pPr>
      <w:r>
        <w:t>If the remuneration or other benefits are calculable at the time the personal advice is given, the remuneration or other benefits that we pay to another will be disclosed at the time the personal advice is given or as soon as practicable after that time; or</w:t>
      </w:r>
    </w:p>
    <w:p w14:paraId="40F895B1" w14:textId="77777777" w:rsidR="00C765C7" w:rsidRDefault="00C765C7" w:rsidP="00C765C7">
      <w:pPr>
        <w:pStyle w:val="PCABodyTextBullet1"/>
      </w:pPr>
      <w:r>
        <w:t>If the remuneration or other benefits that we pay to another are not calculable at the time the personal advice is given, the manner in which the remuneration or other benefits that we pay to another are to be calculated will be disclosed at the time the personal advice is given or as soon as practicable after that time.</w:t>
      </w:r>
    </w:p>
    <w:p w14:paraId="1B9378FA" w14:textId="77777777" w:rsidR="00C765C7" w:rsidRPr="003D16E5" w:rsidRDefault="00C765C7" w:rsidP="00C765C7">
      <w:pPr>
        <w:pStyle w:val="PCABodyText"/>
      </w:pPr>
    </w:p>
    <w:p w14:paraId="510543BA" w14:textId="77777777" w:rsidR="00594701" w:rsidRDefault="00594701">
      <w:pPr>
        <w:suppressAutoHyphens w:val="0"/>
        <w:spacing w:after="200" w:line="276" w:lineRule="auto"/>
        <w:rPr>
          <w:rFonts w:ascii="Calibri" w:hAnsi="Calibri"/>
          <w:b/>
          <w:color w:val="003278"/>
          <w:sz w:val="36"/>
          <w:szCs w:val="24"/>
        </w:rPr>
      </w:pPr>
      <w:r>
        <w:br w:type="page"/>
      </w:r>
    </w:p>
    <w:p w14:paraId="0394C1DA" w14:textId="4BE2A5F3" w:rsidR="00C765C7" w:rsidRPr="003D16E5" w:rsidRDefault="00C765C7" w:rsidP="00C765C7">
      <w:pPr>
        <w:pStyle w:val="PCAHeading1"/>
        <w:rPr>
          <w:rFonts w:eastAsiaTheme="majorEastAsia" w:cstheme="majorBidi"/>
          <w:bCs/>
          <w:szCs w:val="28"/>
        </w:rPr>
      </w:pPr>
      <w:bookmarkStart w:id="8" w:name="_Toc104815733"/>
      <w:r>
        <w:lastRenderedPageBreak/>
        <w:t>Important Associations</w:t>
      </w:r>
      <w:bookmarkEnd w:id="8"/>
    </w:p>
    <w:p w14:paraId="2AF76867" w14:textId="7287BEAB" w:rsidR="00232BCA" w:rsidRDefault="00232BCA" w:rsidP="00232BCA">
      <w:pPr>
        <w:pStyle w:val="PCABodyText"/>
      </w:pPr>
      <w:r>
        <w:t xml:space="preserve">Private Capital Advisers may from time to time receive a benefit from preferred product providers by way of sponsorship of educational seminars, </w:t>
      </w:r>
      <w:r w:rsidR="001D2250">
        <w:t>conferences,</w:t>
      </w:r>
      <w:r>
        <w:t xml:space="preserve"> or training days. Details of benefits above $100 will be maintained on a register.</w:t>
      </w:r>
    </w:p>
    <w:p w14:paraId="4EB15667" w14:textId="77777777" w:rsidR="00C765C7" w:rsidRDefault="00C765C7" w:rsidP="00C765C7">
      <w:pPr>
        <w:pStyle w:val="PCABodyText"/>
      </w:pPr>
    </w:p>
    <w:p w14:paraId="044C7DD2" w14:textId="77777777" w:rsidR="00C765C7" w:rsidRDefault="00C765C7" w:rsidP="00C765C7">
      <w:pPr>
        <w:pStyle w:val="PCAHeading1"/>
      </w:pPr>
      <w:bookmarkStart w:id="9" w:name="_Toc104815734"/>
      <w:r>
        <w:t>Our Professional Indemnity Insurance</w:t>
      </w:r>
      <w:bookmarkEnd w:id="9"/>
    </w:p>
    <w:p w14:paraId="058390F3" w14:textId="1A7F071C" w:rsidR="00C765C7" w:rsidRPr="00E00740" w:rsidRDefault="00C765C7" w:rsidP="00C765C7">
      <w:pPr>
        <w:pStyle w:val="PCABodyText"/>
      </w:pPr>
      <w:r w:rsidRPr="00E00740">
        <w:t>We hold Professional Indemnity (PI) insurance in place in accordance with section 912B</w:t>
      </w:r>
      <w:r>
        <w:t xml:space="preserve"> of the Corporations Act 2001. </w:t>
      </w:r>
      <w:r w:rsidRPr="00E00740">
        <w:t>Our PI insurance covers us for claims made against us by clients as a result of our conduct in the provision of financial services.</w:t>
      </w:r>
    </w:p>
    <w:p w14:paraId="235C5B79" w14:textId="77777777" w:rsidR="00C765C7" w:rsidRPr="00E00740" w:rsidRDefault="00C765C7" w:rsidP="00C765C7">
      <w:pPr>
        <w:pStyle w:val="PCABodyText"/>
      </w:pPr>
    </w:p>
    <w:p w14:paraId="292DF658" w14:textId="77777777" w:rsidR="00C765C7" w:rsidRPr="00E00740" w:rsidRDefault="00C765C7" w:rsidP="00C765C7">
      <w:pPr>
        <w:pStyle w:val="PCABodyText"/>
      </w:pPr>
      <w:r w:rsidRPr="00E00740">
        <w:t>Our PI insurance cover will cover us for claims relating to the conduct of representatives who have ceased work with us but who did at the time of the relevant conduct. This is subject to the usual terms of the PI policy in relation to providing indemnity.</w:t>
      </w:r>
    </w:p>
    <w:p w14:paraId="63504916" w14:textId="77777777" w:rsidR="00C765C7" w:rsidRPr="00E00740" w:rsidRDefault="00C765C7" w:rsidP="00C765C7">
      <w:pPr>
        <w:pStyle w:val="PCABodyText"/>
      </w:pPr>
    </w:p>
    <w:p w14:paraId="1A10B6E6" w14:textId="77777777" w:rsidR="00C765C7" w:rsidRDefault="00C765C7" w:rsidP="00C765C7">
      <w:pPr>
        <w:pStyle w:val="PCAHeading1"/>
      </w:pPr>
      <w:bookmarkStart w:id="10" w:name="_Toc104815735"/>
      <w:r>
        <w:t>What To Do if You Have a Complaint?</w:t>
      </w:r>
      <w:bookmarkEnd w:id="10"/>
    </w:p>
    <w:p w14:paraId="0E454A3C" w14:textId="77777777" w:rsidR="00C765C7" w:rsidRDefault="00C765C7" w:rsidP="00C765C7">
      <w:pPr>
        <w:pStyle w:val="PCABodyText"/>
      </w:pPr>
      <w:r>
        <w:t>If you have a complaint about our services, you can contact our Complaints Officer on 08 9384 6516, who will try to resolve your complaint quickly and fairly.</w:t>
      </w:r>
    </w:p>
    <w:p w14:paraId="133D8783" w14:textId="77777777" w:rsidR="00C765C7" w:rsidRDefault="00C765C7" w:rsidP="00C765C7">
      <w:pPr>
        <w:pStyle w:val="PCABodyText"/>
      </w:pPr>
    </w:p>
    <w:p w14:paraId="3A846A68" w14:textId="4E45BFAD" w:rsidR="00C765C7" w:rsidRDefault="00C765C7" w:rsidP="00C765C7">
      <w:pPr>
        <w:pStyle w:val="PCABodyText"/>
      </w:pPr>
      <w:bookmarkStart w:id="11" w:name="_Hlk529277452"/>
      <w:r>
        <w:t xml:space="preserve">Private Capital Advisers is a member of the Australian Financial Complaints Authority (AFCA). Should the dispute remain unresolved, or is not resolved within </w:t>
      </w:r>
      <w:r w:rsidR="0013552C">
        <w:t xml:space="preserve">30 </w:t>
      </w:r>
      <w:r>
        <w:t>days, or such longer period as permitted by AFCA, you have the right to refer the matter to AFCA.</w:t>
      </w:r>
    </w:p>
    <w:bookmarkEnd w:id="11"/>
    <w:p w14:paraId="04F2EC01" w14:textId="77777777" w:rsidR="00C765C7" w:rsidRDefault="00C765C7" w:rsidP="00C765C7">
      <w:pPr>
        <w:pStyle w:val="PCABodyText"/>
      </w:pPr>
    </w:p>
    <w:p w14:paraId="26F69FEA" w14:textId="0E4C6D58" w:rsidR="00C765C7" w:rsidRDefault="00C765C7" w:rsidP="00C765C7">
      <w:pPr>
        <w:pStyle w:val="PCAHeading1"/>
      </w:pPr>
      <w:bookmarkStart w:id="12" w:name="_Toc104815736"/>
      <w:r>
        <w:t>Contact Details for AFCA are:</w:t>
      </w:r>
      <w:bookmarkEnd w:id="12"/>
    </w:p>
    <w:p w14:paraId="5E61ACA5" w14:textId="5AB180DA" w:rsidR="00C765C7" w:rsidRDefault="00C765C7" w:rsidP="00C765C7">
      <w:pPr>
        <w:pStyle w:val="PCAHeading3"/>
      </w:pPr>
      <w:r>
        <w:t xml:space="preserve">Australian Financial Complaints Authority (AFCA)  </w:t>
      </w:r>
    </w:p>
    <w:p w14:paraId="64293192" w14:textId="77777777" w:rsidR="00C765C7" w:rsidRDefault="00C765C7" w:rsidP="00C765C7">
      <w:pPr>
        <w:pStyle w:val="PCABodyText"/>
      </w:pPr>
      <w:r>
        <w:t>Postal Address</w:t>
      </w:r>
      <w:r>
        <w:tab/>
      </w:r>
      <w:r>
        <w:tab/>
      </w:r>
      <w:r>
        <w:tab/>
      </w:r>
      <w:r>
        <w:tab/>
        <w:t>GPO Box 3, Melbourne VIC 3001</w:t>
      </w:r>
    </w:p>
    <w:p w14:paraId="1B5FA301" w14:textId="77777777" w:rsidR="00C765C7" w:rsidRDefault="00C765C7" w:rsidP="00C765C7">
      <w:pPr>
        <w:pStyle w:val="PCABodyText"/>
      </w:pPr>
      <w:r>
        <w:t>Phone</w:t>
      </w:r>
      <w:r>
        <w:tab/>
      </w:r>
      <w:r>
        <w:tab/>
      </w:r>
      <w:r>
        <w:tab/>
      </w:r>
      <w:r>
        <w:tab/>
      </w:r>
      <w:r>
        <w:tab/>
        <w:t xml:space="preserve">1800 931 678  </w:t>
      </w:r>
    </w:p>
    <w:p w14:paraId="3EFD2598" w14:textId="77777777" w:rsidR="00C765C7" w:rsidRDefault="00C765C7" w:rsidP="00C765C7">
      <w:pPr>
        <w:pStyle w:val="PCABodyText"/>
      </w:pPr>
      <w:r>
        <w:t>Fax</w:t>
      </w:r>
      <w:r>
        <w:tab/>
      </w:r>
      <w:r>
        <w:tab/>
      </w:r>
      <w:r>
        <w:tab/>
      </w:r>
      <w:r>
        <w:tab/>
      </w:r>
      <w:r>
        <w:tab/>
        <w:t>(03) 9613 6399</w:t>
      </w:r>
    </w:p>
    <w:p w14:paraId="109815F5" w14:textId="77777777" w:rsidR="00C765C7" w:rsidRDefault="00C765C7" w:rsidP="00C765C7">
      <w:pPr>
        <w:pStyle w:val="PCABodyText"/>
      </w:pPr>
      <w:r>
        <w:t>Email</w:t>
      </w:r>
      <w:r>
        <w:tab/>
      </w:r>
      <w:r>
        <w:tab/>
      </w:r>
      <w:r>
        <w:tab/>
      </w:r>
      <w:r>
        <w:tab/>
      </w:r>
      <w:r>
        <w:tab/>
        <w:t>info@afca.org.au</w:t>
      </w:r>
    </w:p>
    <w:p w14:paraId="358F1466" w14:textId="77777777" w:rsidR="00C765C7" w:rsidRDefault="00C765C7" w:rsidP="00C765C7">
      <w:pPr>
        <w:pStyle w:val="PCABodyText"/>
      </w:pPr>
      <w:r>
        <w:t>Web</w:t>
      </w:r>
      <w:r>
        <w:tab/>
      </w:r>
      <w:r>
        <w:tab/>
      </w:r>
      <w:r>
        <w:tab/>
      </w:r>
      <w:r>
        <w:tab/>
      </w:r>
      <w:r>
        <w:tab/>
        <w:t>www.afca.org.au</w:t>
      </w:r>
    </w:p>
    <w:p w14:paraId="4D0E4FF7" w14:textId="77777777" w:rsidR="00C765C7" w:rsidRDefault="00C765C7" w:rsidP="00C765C7">
      <w:pPr>
        <w:pStyle w:val="PCABodyText"/>
      </w:pPr>
    </w:p>
    <w:p w14:paraId="391E9870" w14:textId="7D04FE02" w:rsidR="00C765C7" w:rsidRDefault="00C765C7" w:rsidP="00C765C7">
      <w:pPr>
        <w:pStyle w:val="PCABodyText"/>
      </w:pPr>
      <w:r>
        <w:t>You may also contact the Australian Securities and Investments Commission (ASIC) on 1300 300 630 to obtain information about your rights.</w:t>
      </w:r>
    </w:p>
    <w:p w14:paraId="65CAD521" w14:textId="77777777" w:rsidR="00C765C7" w:rsidRDefault="00C765C7" w:rsidP="00C765C7">
      <w:pPr>
        <w:pStyle w:val="PCABodyText"/>
      </w:pPr>
    </w:p>
    <w:p w14:paraId="315F4807" w14:textId="77777777" w:rsidR="00C765C7" w:rsidRPr="00E00740" w:rsidRDefault="00C765C7" w:rsidP="00C765C7">
      <w:pPr>
        <w:pStyle w:val="PCAHeading1"/>
      </w:pPr>
      <w:bookmarkStart w:id="13" w:name="_Toc104815737"/>
      <w:r w:rsidRPr="00E00740">
        <w:t>How We Protect Your Privacy?</w:t>
      </w:r>
      <w:bookmarkEnd w:id="13"/>
    </w:p>
    <w:p w14:paraId="2F5B03BE" w14:textId="439187B1" w:rsidR="00C765C7" w:rsidRDefault="00C765C7" w:rsidP="00C765C7">
      <w:pPr>
        <w:pStyle w:val="PCABodyText"/>
      </w:pPr>
      <w:r>
        <w:t xml:space="preserve">We are committed to protecting your privacy. We use information from you to understand your personal situation and provide you with advice that meets your needs and objectives. We will also collect information from you to meet our obligations under the Anti-Money Laundering and Counter-Terrorism Financing Act. We will generally collect this information directly from you however in some cases we will seek your authority to collect it from other parties such as your accountant, </w:t>
      </w:r>
      <w:r w:rsidR="001D2250">
        <w:t>insurer,</w:t>
      </w:r>
      <w:r>
        <w:t xml:space="preserve"> or superannuation fund.</w:t>
      </w:r>
    </w:p>
    <w:p w14:paraId="51AB69A3" w14:textId="77777777" w:rsidR="00C765C7" w:rsidRDefault="00C765C7" w:rsidP="00C765C7">
      <w:pPr>
        <w:pStyle w:val="PCABodyText"/>
      </w:pPr>
    </w:p>
    <w:p w14:paraId="38007559" w14:textId="77777777" w:rsidR="00C765C7" w:rsidRDefault="00C765C7" w:rsidP="00C765C7">
      <w:pPr>
        <w:pStyle w:val="PCABodyText"/>
      </w:pPr>
      <w:r>
        <w:t xml:space="preserve">We have a privacy policy that encompasses the Australian Privacy Principals and ensures the privacy and security of your personal information. A copy of Private Capital Advisers Privacy Policy is available on request or on our website </w:t>
      </w:r>
      <w:hyperlink r:id="rId14" w:history="1">
        <w:r w:rsidRPr="00D42F7C">
          <w:rPr>
            <w:rStyle w:val="Hyperlink"/>
            <w:color w:val="auto"/>
          </w:rPr>
          <w:t>www.privatecapitaladvisers.com</w:t>
        </w:r>
      </w:hyperlink>
      <w:r>
        <w:t>.</w:t>
      </w:r>
    </w:p>
    <w:p w14:paraId="04A296BA" w14:textId="77777777" w:rsidR="00C765C7" w:rsidRDefault="00C765C7" w:rsidP="00C765C7">
      <w:pPr>
        <w:pStyle w:val="PCABodyText"/>
        <w:rPr>
          <w:color w:val="003278"/>
          <w:sz w:val="32"/>
        </w:rPr>
      </w:pPr>
    </w:p>
    <w:p w14:paraId="6C7D044E" w14:textId="77777777" w:rsidR="00C765C7" w:rsidRPr="009B1F9F" w:rsidRDefault="00C765C7" w:rsidP="00C765C7">
      <w:pPr>
        <w:pStyle w:val="PCAHeading1"/>
      </w:pPr>
      <w:bookmarkStart w:id="14" w:name="_Toc104815738"/>
      <w:r w:rsidRPr="009B1F9F">
        <w:lastRenderedPageBreak/>
        <w:t>How Can You Contact Us?</w:t>
      </w:r>
      <w:bookmarkEnd w:id="14"/>
    </w:p>
    <w:p w14:paraId="131B2105" w14:textId="77777777" w:rsidR="00C765C7" w:rsidRDefault="00C765C7" w:rsidP="00C765C7">
      <w:pPr>
        <w:pStyle w:val="PCABodyText"/>
      </w:pPr>
      <w:r>
        <w:t>Private Capital Advisers Pty Ltd can be contacted at:</w:t>
      </w:r>
    </w:p>
    <w:p w14:paraId="64FC08C3" w14:textId="77777777" w:rsidR="00C765C7" w:rsidRDefault="00C765C7" w:rsidP="00C765C7">
      <w:pPr>
        <w:pStyle w:val="PCABodyText"/>
      </w:pPr>
      <w:r>
        <w:t>Street Address</w:t>
      </w:r>
      <w:r>
        <w:tab/>
      </w:r>
      <w:r>
        <w:tab/>
      </w:r>
      <w:r>
        <w:tab/>
      </w:r>
      <w:r>
        <w:tab/>
        <w:t>Suite 1, 89 Forrest Street, Cottesloe WA 6011</w:t>
      </w:r>
    </w:p>
    <w:p w14:paraId="33E91F05" w14:textId="77777777" w:rsidR="00C765C7" w:rsidRDefault="00C765C7" w:rsidP="00C765C7">
      <w:pPr>
        <w:pStyle w:val="PCABodyText"/>
      </w:pPr>
      <w:r>
        <w:t>Postal Address</w:t>
      </w:r>
      <w:r>
        <w:tab/>
      </w:r>
      <w:r>
        <w:tab/>
      </w:r>
      <w:r>
        <w:tab/>
      </w:r>
      <w:r>
        <w:tab/>
        <w:t>PO Box 183, Cottesloe WA 6911</w:t>
      </w:r>
    </w:p>
    <w:p w14:paraId="1157D82A" w14:textId="77777777" w:rsidR="00C765C7" w:rsidRDefault="00C765C7" w:rsidP="00C765C7">
      <w:pPr>
        <w:pStyle w:val="PCABodyText"/>
      </w:pPr>
      <w:r>
        <w:t>Phone</w:t>
      </w:r>
      <w:r>
        <w:tab/>
      </w:r>
      <w:r>
        <w:tab/>
      </w:r>
      <w:r>
        <w:tab/>
      </w:r>
      <w:r>
        <w:tab/>
      </w:r>
      <w:r>
        <w:tab/>
        <w:t>(08) 9384 6516</w:t>
      </w:r>
    </w:p>
    <w:p w14:paraId="720C7276" w14:textId="77777777" w:rsidR="00C765C7" w:rsidRDefault="00C765C7" w:rsidP="00C765C7">
      <w:pPr>
        <w:pStyle w:val="PCABodyText"/>
      </w:pPr>
      <w:r>
        <w:t>Email</w:t>
      </w:r>
      <w:r>
        <w:tab/>
      </w:r>
      <w:r>
        <w:tab/>
      </w:r>
      <w:r>
        <w:tab/>
      </w:r>
      <w:r>
        <w:tab/>
      </w:r>
      <w:r>
        <w:tab/>
        <w:t>admin@privateca.com.au</w:t>
      </w:r>
    </w:p>
    <w:p w14:paraId="62900357" w14:textId="77777777" w:rsidR="00C765C7" w:rsidRDefault="00C765C7" w:rsidP="00C765C7">
      <w:pPr>
        <w:pStyle w:val="PCABodyText"/>
      </w:pPr>
      <w:r>
        <w:t>Web</w:t>
      </w:r>
      <w:r>
        <w:tab/>
      </w:r>
      <w:r>
        <w:tab/>
      </w:r>
      <w:r>
        <w:tab/>
      </w:r>
      <w:r>
        <w:tab/>
      </w:r>
      <w:r>
        <w:tab/>
        <w:t>www.privatecapitaladvisers.com.au</w:t>
      </w:r>
    </w:p>
    <w:p w14:paraId="49DCFECA" w14:textId="77777777" w:rsidR="00C765C7" w:rsidRDefault="00C765C7" w:rsidP="00C765C7">
      <w:pPr>
        <w:pStyle w:val="PCABodyText"/>
      </w:pPr>
      <w:r>
        <w:t>ABN</w:t>
      </w:r>
      <w:r>
        <w:tab/>
      </w:r>
      <w:r>
        <w:tab/>
      </w:r>
      <w:r>
        <w:tab/>
      </w:r>
      <w:r>
        <w:tab/>
      </w:r>
      <w:r>
        <w:tab/>
        <w:t>15 123 671 821</w:t>
      </w:r>
    </w:p>
    <w:p w14:paraId="3E277196" w14:textId="77777777" w:rsidR="00C765C7" w:rsidRDefault="00C765C7" w:rsidP="00C765C7">
      <w:pPr>
        <w:pStyle w:val="PCABodyText"/>
      </w:pPr>
      <w:r>
        <w:t>AFSL Number</w:t>
      </w:r>
      <w:r>
        <w:tab/>
      </w:r>
      <w:r>
        <w:tab/>
      </w:r>
      <w:r>
        <w:tab/>
      </w:r>
      <w:r>
        <w:tab/>
        <w:t>422 593</w:t>
      </w:r>
    </w:p>
    <w:p w14:paraId="0A3D580B" w14:textId="77777777" w:rsidR="00C765C7" w:rsidRDefault="00C765C7" w:rsidP="00C765C7">
      <w:pPr>
        <w:pStyle w:val="PCABodyText"/>
      </w:pPr>
      <w:r>
        <w:t>ACL Number</w:t>
      </w:r>
      <w:r>
        <w:tab/>
      </w:r>
      <w:r>
        <w:tab/>
      </w:r>
      <w:r>
        <w:tab/>
      </w:r>
      <w:r>
        <w:tab/>
        <w:t>422 593</w:t>
      </w:r>
    </w:p>
    <w:p w14:paraId="6E675B96" w14:textId="77777777" w:rsidR="00C765C7" w:rsidRDefault="00C765C7" w:rsidP="00C765C7">
      <w:pPr>
        <w:pStyle w:val="PCABodyText"/>
      </w:pPr>
    </w:p>
    <w:p w14:paraId="0E316F2C" w14:textId="15D915DD" w:rsidR="00C765C7" w:rsidRPr="002A4DBE" w:rsidRDefault="00C765C7" w:rsidP="00C765C7">
      <w:pPr>
        <w:pStyle w:val="PCABodyText"/>
        <w:rPr>
          <w:color w:val="auto"/>
        </w:rPr>
      </w:pPr>
      <w:r w:rsidRPr="002A4DBE">
        <w:rPr>
          <w:color w:val="auto"/>
        </w:rPr>
        <w:t xml:space="preserve">This Financial Services Guide was prepared on </w:t>
      </w:r>
      <w:r w:rsidR="00472BDF">
        <w:rPr>
          <w:color w:val="auto"/>
        </w:rPr>
        <w:t>1 June</w:t>
      </w:r>
      <w:r w:rsidR="000F523E" w:rsidRPr="000F523E">
        <w:rPr>
          <w:color w:val="auto"/>
        </w:rPr>
        <w:t xml:space="preserve"> 2022</w:t>
      </w:r>
      <w:r w:rsidRPr="000F523E">
        <w:rPr>
          <w:color w:val="auto"/>
        </w:rPr>
        <w:t>.</w:t>
      </w:r>
    </w:p>
    <w:p w14:paraId="2B616160" w14:textId="77777777" w:rsidR="00D22A36" w:rsidRPr="00362C15" w:rsidRDefault="00D22A36" w:rsidP="00C765C7"/>
    <w:sectPr w:rsidR="00D22A36" w:rsidRPr="00362C15" w:rsidSect="004009F7">
      <w:footerReference w:type="default" r:id="rId15"/>
      <w:headerReference w:type="first" r:id="rId16"/>
      <w:footerReference w:type="first" r:id="rId17"/>
      <w:pgSz w:w="11906" w:h="16838" w:code="9"/>
      <w:pgMar w:top="1134" w:right="1134" w:bottom="1134" w:left="1134"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AD038" w14:textId="77777777" w:rsidR="00C71925" w:rsidRDefault="00C71925" w:rsidP="00963AC3">
      <w:pPr>
        <w:spacing w:line="240" w:lineRule="auto"/>
      </w:pPr>
      <w:r>
        <w:separator/>
      </w:r>
    </w:p>
  </w:endnote>
  <w:endnote w:type="continuationSeparator" w:id="0">
    <w:p w14:paraId="6F4C91A3" w14:textId="77777777" w:rsidR="00C71925" w:rsidRDefault="00C71925" w:rsidP="00963AC3">
      <w:pPr>
        <w:spacing w:line="240" w:lineRule="auto"/>
      </w:pPr>
      <w:r>
        <w:continuationSeparator/>
      </w:r>
    </w:p>
  </w:endnote>
  <w:endnote w:type="continuationNotice" w:id="1">
    <w:p w14:paraId="1C1D2E81" w14:textId="77777777" w:rsidR="00C71925" w:rsidRDefault="00C719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variable"/>
    <w:sig w:usb0="E0002AE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D7E31" w14:textId="77777777" w:rsidR="00C765C7" w:rsidRDefault="00C765C7" w:rsidP="002D2F4C">
    <w:pPr>
      <w:pStyle w:val="PCAFooter"/>
    </w:pPr>
    <w:r w:rsidRPr="007E6943">
      <w:t>Liability limited by a scheme approved under Professional Standards Legislation other than for the acts or omissions of financial services licensees.</w:t>
    </w:r>
  </w:p>
  <w:p w14:paraId="3D4ED699" w14:textId="77777777" w:rsidR="00C765C7" w:rsidRPr="00064C55" w:rsidRDefault="00C765C7" w:rsidP="002D2F4C">
    <w:pPr>
      <w:pStyle w:val="PCAFooter"/>
    </w:pPr>
    <w:r w:rsidRPr="007E6943">
      <w:t>Private Capital Advisers Pty Ltd</w:t>
    </w:r>
    <w:r>
      <w:t xml:space="preserve">    Principal | Peter Wright 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A6DB" w14:textId="77777777" w:rsidR="00C765C7" w:rsidRDefault="00C765C7" w:rsidP="007353F8">
    <w:pPr>
      <w:pStyle w:val="PCAFooter"/>
    </w:pPr>
    <w:r>
      <w:rPr>
        <w:noProof/>
        <w:lang w:val="en-US"/>
      </w:rPr>
      <w:drawing>
        <wp:anchor distT="0" distB="0" distL="114300" distR="114300" simplePos="0" relativeHeight="251658241" behindDoc="0" locked="0" layoutInCell="1" allowOverlap="1" wp14:anchorId="7FA9988B" wp14:editId="284E0967">
          <wp:simplePos x="0" y="0"/>
          <wp:positionH relativeFrom="margin">
            <wp:align>left</wp:align>
          </wp:positionH>
          <wp:positionV relativeFrom="paragraph">
            <wp:posOffset>99060</wp:posOffset>
          </wp:positionV>
          <wp:extent cx="1705610" cy="6369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05610"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7E60862" w14:textId="77777777" w:rsidR="00C765C7" w:rsidRDefault="00C765C7" w:rsidP="007353F8">
    <w:pPr>
      <w:pStyle w:val="PCAFooter"/>
    </w:pPr>
  </w:p>
  <w:p w14:paraId="2EDC75DD" w14:textId="77777777" w:rsidR="00C765C7" w:rsidRDefault="00C765C7" w:rsidP="007353F8">
    <w:pPr>
      <w:pStyle w:val="PCAFooter"/>
    </w:pPr>
  </w:p>
  <w:p w14:paraId="5AA26617" w14:textId="77777777" w:rsidR="00C765C7" w:rsidRDefault="00C765C7" w:rsidP="007353F8">
    <w:pPr>
      <w:pStyle w:val="PCAFooter"/>
    </w:pPr>
  </w:p>
  <w:p w14:paraId="23337326" w14:textId="77777777" w:rsidR="00C765C7" w:rsidRDefault="00C765C7" w:rsidP="007353F8">
    <w:pPr>
      <w:pStyle w:val="PCAFooter"/>
    </w:pPr>
  </w:p>
  <w:p w14:paraId="07D536C6" w14:textId="77777777" w:rsidR="00C765C7" w:rsidRDefault="00C765C7" w:rsidP="007353F8">
    <w:pPr>
      <w:pStyle w:val="PCAFooter"/>
    </w:pPr>
  </w:p>
  <w:p w14:paraId="19A305BA" w14:textId="77777777" w:rsidR="00C765C7" w:rsidRDefault="00C765C7" w:rsidP="007353F8">
    <w:pPr>
      <w:pStyle w:val="PCAFooter"/>
    </w:pPr>
  </w:p>
  <w:p w14:paraId="1E1F621A" w14:textId="77777777" w:rsidR="00C765C7" w:rsidRDefault="00C765C7" w:rsidP="007353F8">
    <w:pPr>
      <w:pStyle w:val="PCAFooter"/>
    </w:pPr>
  </w:p>
  <w:p w14:paraId="35033565" w14:textId="77777777" w:rsidR="00C765C7" w:rsidRDefault="00C765C7" w:rsidP="007353F8">
    <w:pPr>
      <w:pStyle w:val="PCAFooter"/>
    </w:pPr>
  </w:p>
  <w:p w14:paraId="57243523" w14:textId="77777777" w:rsidR="00C765C7" w:rsidRDefault="00C765C7" w:rsidP="007353F8">
    <w:pPr>
      <w:pStyle w:val="PCAFooter"/>
    </w:pPr>
  </w:p>
  <w:p w14:paraId="23176A91" w14:textId="77777777" w:rsidR="00C765C7" w:rsidRPr="000E52E5" w:rsidRDefault="00C765C7" w:rsidP="007353F8">
    <w:pPr>
      <w:pStyle w:val="PCA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180"/>
      <w:gridCol w:w="503"/>
    </w:tblGrid>
    <w:tr w:rsidR="004A52DC" w:rsidRPr="00B17226" w14:paraId="1D83FFA3" w14:textId="77777777" w:rsidTr="007353F8">
      <w:tc>
        <w:tcPr>
          <w:tcW w:w="9180" w:type="dxa"/>
          <w:shd w:val="clear" w:color="auto" w:fill="auto"/>
        </w:tcPr>
        <w:p w14:paraId="7A250723" w14:textId="1FB9F5DE" w:rsidR="004A52DC" w:rsidRPr="00B17226" w:rsidRDefault="004A52DC" w:rsidP="004A52DC">
          <w:pPr>
            <w:pStyle w:val="PCAFooter"/>
            <w:rPr>
              <w:szCs w:val="18"/>
            </w:rPr>
          </w:pPr>
          <w:r w:rsidRPr="00B17226">
            <w:rPr>
              <w:szCs w:val="18"/>
            </w:rPr>
            <w:t>Private Capital Advisers</w:t>
          </w:r>
        </w:p>
      </w:tc>
      <w:tc>
        <w:tcPr>
          <w:tcW w:w="503" w:type="dxa"/>
          <w:shd w:val="clear" w:color="auto" w:fill="auto"/>
        </w:tcPr>
        <w:p w14:paraId="798FD24E" w14:textId="33E09897" w:rsidR="004A52DC" w:rsidRPr="00B17226" w:rsidRDefault="004A52DC" w:rsidP="004A52DC">
          <w:pPr>
            <w:pStyle w:val="PCAFooter"/>
            <w:rPr>
              <w:szCs w:val="18"/>
            </w:rPr>
          </w:pPr>
          <w:r w:rsidRPr="00B17226">
            <w:rPr>
              <w:szCs w:val="18"/>
            </w:rPr>
            <w:fldChar w:fldCharType="begin"/>
          </w:r>
          <w:r w:rsidRPr="00B17226">
            <w:rPr>
              <w:szCs w:val="18"/>
            </w:rPr>
            <w:instrText xml:space="preserve"> PAGE  \* Arabic </w:instrText>
          </w:r>
          <w:r w:rsidRPr="00B17226">
            <w:rPr>
              <w:szCs w:val="18"/>
            </w:rPr>
            <w:fldChar w:fldCharType="separate"/>
          </w:r>
          <w:r w:rsidRPr="00B17226">
            <w:rPr>
              <w:noProof/>
              <w:szCs w:val="18"/>
            </w:rPr>
            <w:t>2</w:t>
          </w:r>
          <w:r w:rsidRPr="00B17226">
            <w:rPr>
              <w:szCs w:val="18"/>
            </w:rPr>
            <w:fldChar w:fldCharType="end"/>
          </w:r>
        </w:p>
      </w:tc>
    </w:tr>
  </w:tbl>
  <w:p w14:paraId="5704EA23" w14:textId="4F022704" w:rsidR="005E1B79" w:rsidRPr="005E1B79" w:rsidRDefault="005E1B79" w:rsidP="00071CBF">
    <w:pPr>
      <w:pStyle w:val="PCAFooter"/>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650E" w14:textId="77777777" w:rsidR="00B17226" w:rsidRPr="0034001B" w:rsidRDefault="00B17226" w:rsidP="00B17226">
    <w:pPr>
      <w:pStyle w:val="PCAFooter"/>
      <w:rPr>
        <w:i/>
      </w:rPr>
    </w:pPr>
    <w:r w:rsidRPr="0034001B">
      <w:rPr>
        <w:i/>
      </w:rPr>
      <w:t>Liability limited by a scheme approved under Professional Standards Legislation</w:t>
    </w:r>
  </w:p>
  <w:p w14:paraId="7A0A49B5" w14:textId="0E09DB2B" w:rsidR="009013D3" w:rsidRPr="00B17226" w:rsidRDefault="00B17226" w:rsidP="00B17226">
    <w:pPr>
      <w:pStyle w:val="PCAFooter"/>
    </w:pPr>
    <w:r w:rsidRPr="0034001B">
      <w:t>Private Capital Advisers Pty Ltd    Principal | Peter Wright 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85CEE" w14:textId="77777777" w:rsidR="00C71925" w:rsidRDefault="00C71925" w:rsidP="00963AC3">
      <w:pPr>
        <w:spacing w:line="240" w:lineRule="auto"/>
      </w:pPr>
      <w:r>
        <w:separator/>
      </w:r>
    </w:p>
  </w:footnote>
  <w:footnote w:type="continuationSeparator" w:id="0">
    <w:p w14:paraId="0A383AE4" w14:textId="77777777" w:rsidR="00C71925" w:rsidRDefault="00C71925" w:rsidP="00963AC3">
      <w:pPr>
        <w:spacing w:line="240" w:lineRule="auto"/>
      </w:pPr>
      <w:r>
        <w:continuationSeparator/>
      </w:r>
    </w:p>
  </w:footnote>
  <w:footnote w:type="continuationNotice" w:id="1">
    <w:p w14:paraId="41DF116B" w14:textId="77777777" w:rsidR="00C71925" w:rsidRDefault="00C7192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B132" w14:textId="77777777" w:rsidR="00C765C7" w:rsidRDefault="00C765C7" w:rsidP="007353F8">
    <w:pPr>
      <w:pStyle w:val="Header"/>
      <w:spacing w:line="24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376C" w14:textId="77777777" w:rsidR="009013D3" w:rsidRPr="0085755D" w:rsidRDefault="009013D3" w:rsidP="00816D2C">
    <w:pPr>
      <w:pStyle w:val="PCAHeader"/>
    </w:pPr>
    <w:r w:rsidRPr="00816D2C">
      <w:rPr>
        <w:b/>
      </w:rPr>
      <w:drawing>
        <wp:anchor distT="0" distB="0" distL="114300" distR="114300" simplePos="0" relativeHeight="251658240" behindDoc="0" locked="0" layoutInCell="1" allowOverlap="1" wp14:anchorId="34B88B8E" wp14:editId="26CE8E38">
          <wp:simplePos x="0" y="0"/>
          <wp:positionH relativeFrom="column">
            <wp:posOffset>-9583</wp:posOffset>
          </wp:positionH>
          <wp:positionV relativeFrom="paragraph">
            <wp:posOffset>16135</wp:posOffset>
          </wp:positionV>
          <wp:extent cx="1705611" cy="636906"/>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05611" cy="6369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16D2C">
      <w:rPr>
        <w:b/>
      </w:rPr>
      <w:t>Private Capital Advisers Pty Ltd</w:t>
    </w:r>
    <w:r w:rsidRPr="000D43D5">
      <w:cr/>
    </w:r>
    <w:r w:rsidRPr="0085755D">
      <w:t>AFSL 422 593 | ACL 422 593</w:t>
    </w:r>
  </w:p>
  <w:p w14:paraId="4CE51B00" w14:textId="77777777" w:rsidR="009013D3" w:rsidRPr="0085755D" w:rsidRDefault="009013D3" w:rsidP="00816D2C">
    <w:pPr>
      <w:pStyle w:val="PCAHeader"/>
    </w:pPr>
    <w:r w:rsidRPr="0085755D">
      <w:t>ABN 15 123 671 821</w:t>
    </w:r>
  </w:p>
  <w:p w14:paraId="0C49B701" w14:textId="77777777" w:rsidR="009013D3" w:rsidRPr="0085755D" w:rsidRDefault="009013D3" w:rsidP="00816D2C">
    <w:pPr>
      <w:pStyle w:val="PCAHeader"/>
    </w:pPr>
  </w:p>
  <w:p w14:paraId="02FE5957" w14:textId="77777777" w:rsidR="009013D3" w:rsidRPr="0085755D" w:rsidRDefault="009013D3" w:rsidP="00816D2C">
    <w:pPr>
      <w:pStyle w:val="PCAHeader"/>
    </w:pPr>
    <w:r w:rsidRPr="0085755D">
      <w:t>(08) 9384 6516</w:t>
    </w:r>
  </w:p>
  <w:p w14:paraId="72B60604" w14:textId="77777777" w:rsidR="009013D3" w:rsidRPr="0085755D" w:rsidRDefault="009013D3" w:rsidP="00816D2C">
    <w:pPr>
      <w:pStyle w:val="PCAHeader"/>
    </w:pPr>
    <w:r w:rsidRPr="0085755D">
      <w:t>admin@privateca.com.au</w:t>
    </w:r>
  </w:p>
  <w:p w14:paraId="4C11B620" w14:textId="77777777" w:rsidR="009013D3" w:rsidRPr="0085755D" w:rsidRDefault="009013D3" w:rsidP="00816D2C">
    <w:pPr>
      <w:pStyle w:val="PCAHeader"/>
    </w:pPr>
    <w:r w:rsidRPr="0085755D">
      <w:t>privatecapitaladvisers.com.au</w:t>
    </w:r>
  </w:p>
  <w:p w14:paraId="5E84BEF7" w14:textId="77777777" w:rsidR="009013D3" w:rsidRDefault="009013D3" w:rsidP="00816D2C">
    <w:pPr>
      <w:pStyle w:val="PCAHeader"/>
    </w:pPr>
    <w:r w:rsidRPr="0085755D">
      <w:t>PO Box 183 Cottesloe WA 6911</w:t>
    </w:r>
  </w:p>
  <w:p w14:paraId="259F05AA" w14:textId="77777777" w:rsidR="009013D3" w:rsidRPr="00816D2C" w:rsidRDefault="009013D3" w:rsidP="00816D2C">
    <w:pPr>
      <w:pStyle w:val="PCA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4CC3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9C97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161E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0CAC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C8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DAB0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E665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E044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3C9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26F6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83B00"/>
    <w:multiLevelType w:val="multilevel"/>
    <w:tmpl w:val="4BF45D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566B1F"/>
    <w:multiLevelType w:val="hybridMultilevel"/>
    <w:tmpl w:val="B1C09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D51EF8"/>
    <w:multiLevelType w:val="hybridMultilevel"/>
    <w:tmpl w:val="7D14CCD8"/>
    <w:lvl w:ilvl="0" w:tplc="2188A2E8">
      <w:start w:val="1"/>
      <w:numFmt w:val="lowerLetter"/>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8F29A4"/>
    <w:multiLevelType w:val="hybridMultilevel"/>
    <w:tmpl w:val="D60AE7CA"/>
    <w:lvl w:ilvl="0" w:tplc="B372B9D2">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A42C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1590648"/>
    <w:multiLevelType w:val="hybridMultilevel"/>
    <w:tmpl w:val="38B4CB66"/>
    <w:lvl w:ilvl="0" w:tplc="A628E6C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942A4A"/>
    <w:multiLevelType w:val="hybridMultilevel"/>
    <w:tmpl w:val="36723A22"/>
    <w:lvl w:ilvl="0" w:tplc="1C8A3726">
      <w:start w:val="1"/>
      <w:numFmt w:val="bullet"/>
      <w:pStyle w:val="TOC2"/>
      <w:lvlText w:val=""/>
      <w:lvlJc w:val="left"/>
      <w:pPr>
        <w:ind w:left="567" w:hanging="567"/>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0D59E4"/>
    <w:multiLevelType w:val="hybridMultilevel"/>
    <w:tmpl w:val="81F03B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E3E4826"/>
    <w:multiLevelType w:val="hybridMultilevel"/>
    <w:tmpl w:val="59CC651C"/>
    <w:lvl w:ilvl="0" w:tplc="233AB54A">
      <w:start w:val="1"/>
      <w:numFmt w:val="bullet"/>
      <w:pStyle w:val="PCABodyTextBullet1"/>
      <w:lvlText w:val=""/>
      <w:lvlJc w:val="left"/>
      <w:pPr>
        <w:ind w:left="71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594724"/>
    <w:multiLevelType w:val="hybridMultilevel"/>
    <w:tmpl w:val="D6C8745A"/>
    <w:lvl w:ilvl="0" w:tplc="7AD257EE">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16030D"/>
    <w:multiLevelType w:val="hybridMultilevel"/>
    <w:tmpl w:val="8ACC5014"/>
    <w:lvl w:ilvl="0" w:tplc="73D2B8D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4E4889"/>
    <w:multiLevelType w:val="hybridMultilevel"/>
    <w:tmpl w:val="C9D211F8"/>
    <w:lvl w:ilvl="0" w:tplc="D52A537A">
      <w:start w:val="1"/>
      <w:numFmt w:val="bullet"/>
      <w:pStyle w:val="PCABodyTextBullet2"/>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7976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F7E53B6"/>
    <w:multiLevelType w:val="hybridMultilevel"/>
    <w:tmpl w:val="4D2CFE96"/>
    <w:lvl w:ilvl="0" w:tplc="65807C9C">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9061546">
    <w:abstractNumId w:val="9"/>
  </w:num>
  <w:num w:numId="2" w16cid:durableId="1257441132">
    <w:abstractNumId w:val="18"/>
  </w:num>
  <w:num w:numId="3" w16cid:durableId="576355506">
    <w:abstractNumId w:val="21"/>
  </w:num>
  <w:num w:numId="4" w16cid:durableId="556009904">
    <w:abstractNumId w:val="20"/>
  </w:num>
  <w:num w:numId="5" w16cid:durableId="1178959864">
    <w:abstractNumId w:val="23"/>
  </w:num>
  <w:num w:numId="6" w16cid:durableId="561136766">
    <w:abstractNumId w:val="19"/>
  </w:num>
  <w:num w:numId="7" w16cid:durableId="1974558473">
    <w:abstractNumId w:val="12"/>
  </w:num>
  <w:num w:numId="8" w16cid:durableId="2052653184">
    <w:abstractNumId w:val="15"/>
  </w:num>
  <w:num w:numId="9" w16cid:durableId="232785170">
    <w:abstractNumId w:val="0"/>
  </w:num>
  <w:num w:numId="10" w16cid:durableId="1531409459">
    <w:abstractNumId w:val="1"/>
  </w:num>
  <w:num w:numId="11" w16cid:durableId="1500802572">
    <w:abstractNumId w:val="2"/>
  </w:num>
  <w:num w:numId="12" w16cid:durableId="1630889923">
    <w:abstractNumId w:val="3"/>
  </w:num>
  <w:num w:numId="13" w16cid:durableId="521548978">
    <w:abstractNumId w:val="8"/>
  </w:num>
  <w:num w:numId="14" w16cid:durableId="1209143325">
    <w:abstractNumId w:val="4"/>
  </w:num>
  <w:num w:numId="15" w16cid:durableId="1320815222">
    <w:abstractNumId w:val="5"/>
  </w:num>
  <w:num w:numId="16" w16cid:durableId="1196649812">
    <w:abstractNumId w:val="6"/>
  </w:num>
  <w:num w:numId="17" w16cid:durableId="1123303918">
    <w:abstractNumId w:val="7"/>
  </w:num>
  <w:num w:numId="18" w16cid:durableId="732196707">
    <w:abstractNumId w:val="10"/>
  </w:num>
  <w:num w:numId="19" w16cid:durableId="1809400350">
    <w:abstractNumId w:val="14"/>
  </w:num>
  <w:num w:numId="20" w16cid:durableId="516889862">
    <w:abstractNumId w:val="16"/>
  </w:num>
  <w:num w:numId="21" w16cid:durableId="69734487">
    <w:abstractNumId w:val="22"/>
  </w:num>
  <w:num w:numId="22" w16cid:durableId="2092466032">
    <w:abstractNumId w:val="13"/>
  </w:num>
  <w:num w:numId="23" w16cid:durableId="1675567856">
    <w:abstractNumId w:val="11"/>
  </w:num>
  <w:num w:numId="24" w16cid:durableId="97537964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linkStyles/>
  <w:defaultTabStop w:val="720"/>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0NDI0tTA2N7E0srRQ0lEKTi0uzszPAykwrgUAbh/dDiwAAAA="/>
    <w:docVar w:name="dgnword-docGUID" w:val="{6867848D-2E06-48BE-BA23-283AB223127E}"/>
    <w:docVar w:name="dgnword-eventsink" w:val="2147160453936"/>
  </w:docVars>
  <w:rsids>
    <w:rsidRoot w:val="00C765C7"/>
    <w:rsid w:val="00002BEA"/>
    <w:rsid w:val="00003CB8"/>
    <w:rsid w:val="000126B9"/>
    <w:rsid w:val="00024309"/>
    <w:rsid w:val="000343D9"/>
    <w:rsid w:val="00041003"/>
    <w:rsid w:val="000415B3"/>
    <w:rsid w:val="00043835"/>
    <w:rsid w:val="00054B1F"/>
    <w:rsid w:val="00061E65"/>
    <w:rsid w:val="00064C55"/>
    <w:rsid w:val="000657C6"/>
    <w:rsid w:val="00071CBF"/>
    <w:rsid w:val="000839A5"/>
    <w:rsid w:val="00086CF2"/>
    <w:rsid w:val="00093225"/>
    <w:rsid w:val="00094B0D"/>
    <w:rsid w:val="00097409"/>
    <w:rsid w:val="000A156E"/>
    <w:rsid w:val="000B2F0B"/>
    <w:rsid w:val="000B4615"/>
    <w:rsid w:val="000C2EBB"/>
    <w:rsid w:val="000C657B"/>
    <w:rsid w:val="000D43D5"/>
    <w:rsid w:val="000D48AF"/>
    <w:rsid w:val="000D5F61"/>
    <w:rsid w:val="000E6277"/>
    <w:rsid w:val="000F2D4F"/>
    <w:rsid w:val="000F523E"/>
    <w:rsid w:val="00100947"/>
    <w:rsid w:val="0010348D"/>
    <w:rsid w:val="00112F15"/>
    <w:rsid w:val="00123B17"/>
    <w:rsid w:val="00127398"/>
    <w:rsid w:val="0013457E"/>
    <w:rsid w:val="0013552C"/>
    <w:rsid w:val="001416FC"/>
    <w:rsid w:val="00144DA9"/>
    <w:rsid w:val="001524CF"/>
    <w:rsid w:val="00152F8A"/>
    <w:rsid w:val="00155E0E"/>
    <w:rsid w:val="00155EC1"/>
    <w:rsid w:val="001578B6"/>
    <w:rsid w:val="001644D1"/>
    <w:rsid w:val="00165AEF"/>
    <w:rsid w:val="00165FE0"/>
    <w:rsid w:val="00195AE6"/>
    <w:rsid w:val="001B357B"/>
    <w:rsid w:val="001B4C30"/>
    <w:rsid w:val="001C210E"/>
    <w:rsid w:val="001D072D"/>
    <w:rsid w:val="001D1C6C"/>
    <w:rsid w:val="001D2250"/>
    <w:rsid w:val="001E4D5B"/>
    <w:rsid w:val="001F61A7"/>
    <w:rsid w:val="002329B9"/>
    <w:rsid w:val="00232B41"/>
    <w:rsid w:val="00232BCA"/>
    <w:rsid w:val="00234914"/>
    <w:rsid w:val="00236DEB"/>
    <w:rsid w:val="00242F65"/>
    <w:rsid w:val="002465C1"/>
    <w:rsid w:val="002501C3"/>
    <w:rsid w:val="00253219"/>
    <w:rsid w:val="002556E4"/>
    <w:rsid w:val="00255712"/>
    <w:rsid w:val="00257375"/>
    <w:rsid w:val="002610DE"/>
    <w:rsid w:val="00263E6C"/>
    <w:rsid w:val="00267366"/>
    <w:rsid w:val="00267699"/>
    <w:rsid w:val="00276EC6"/>
    <w:rsid w:val="00281991"/>
    <w:rsid w:val="00297043"/>
    <w:rsid w:val="002A3E35"/>
    <w:rsid w:val="002A48A7"/>
    <w:rsid w:val="002A5334"/>
    <w:rsid w:val="002A6DE8"/>
    <w:rsid w:val="002B1CE7"/>
    <w:rsid w:val="002B463E"/>
    <w:rsid w:val="002D0F67"/>
    <w:rsid w:val="002D2F4C"/>
    <w:rsid w:val="002D71D7"/>
    <w:rsid w:val="002E4EFD"/>
    <w:rsid w:val="002F0B39"/>
    <w:rsid w:val="003241F0"/>
    <w:rsid w:val="003379A3"/>
    <w:rsid w:val="0034354B"/>
    <w:rsid w:val="003447CD"/>
    <w:rsid w:val="003458DC"/>
    <w:rsid w:val="00346022"/>
    <w:rsid w:val="00350CDE"/>
    <w:rsid w:val="00352C9B"/>
    <w:rsid w:val="00362C15"/>
    <w:rsid w:val="0036422F"/>
    <w:rsid w:val="003818C2"/>
    <w:rsid w:val="00385FF2"/>
    <w:rsid w:val="00390265"/>
    <w:rsid w:val="00393648"/>
    <w:rsid w:val="003B000A"/>
    <w:rsid w:val="003C0A63"/>
    <w:rsid w:val="003C50E3"/>
    <w:rsid w:val="003C7E16"/>
    <w:rsid w:val="003D1E68"/>
    <w:rsid w:val="003D2BF1"/>
    <w:rsid w:val="003D6507"/>
    <w:rsid w:val="003E71E0"/>
    <w:rsid w:val="003E7DF4"/>
    <w:rsid w:val="003F5DA4"/>
    <w:rsid w:val="004009F7"/>
    <w:rsid w:val="00401D78"/>
    <w:rsid w:val="004031C4"/>
    <w:rsid w:val="0040487F"/>
    <w:rsid w:val="00406459"/>
    <w:rsid w:val="0041332A"/>
    <w:rsid w:val="00436748"/>
    <w:rsid w:val="00441481"/>
    <w:rsid w:val="0045250E"/>
    <w:rsid w:val="00465835"/>
    <w:rsid w:val="004666AB"/>
    <w:rsid w:val="00467D84"/>
    <w:rsid w:val="00471C2C"/>
    <w:rsid w:val="00472BDF"/>
    <w:rsid w:val="00494800"/>
    <w:rsid w:val="004A52DC"/>
    <w:rsid w:val="004B4366"/>
    <w:rsid w:val="004C0142"/>
    <w:rsid w:val="004C2EAB"/>
    <w:rsid w:val="004E2DE9"/>
    <w:rsid w:val="004E536B"/>
    <w:rsid w:val="004F4022"/>
    <w:rsid w:val="00504342"/>
    <w:rsid w:val="0051294D"/>
    <w:rsid w:val="00514CCC"/>
    <w:rsid w:val="00520784"/>
    <w:rsid w:val="005219C5"/>
    <w:rsid w:val="00563412"/>
    <w:rsid w:val="00565508"/>
    <w:rsid w:val="0056628B"/>
    <w:rsid w:val="005721B9"/>
    <w:rsid w:val="00575CB3"/>
    <w:rsid w:val="005762E9"/>
    <w:rsid w:val="005764B3"/>
    <w:rsid w:val="005779D7"/>
    <w:rsid w:val="00577BB3"/>
    <w:rsid w:val="00580018"/>
    <w:rsid w:val="0058027A"/>
    <w:rsid w:val="005850B5"/>
    <w:rsid w:val="00594701"/>
    <w:rsid w:val="005B3ED7"/>
    <w:rsid w:val="005C1799"/>
    <w:rsid w:val="005D3240"/>
    <w:rsid w:val="005D465B"/>
    <w:rsid w:val="005E0A51"/>
    <w:rsid w:val="005E1B79"/>
    <w:rsid w:val="005E6DFE"/>
    <w:rsid w:val="005F2579"/>
    <w:rsid w:val="005F2B8B"/>
    <w:rsid w:val="005F636C"/>
    <w:rsid w:val="00610CA6"/>
    <w:rsid w:val="00614079"/>
    <w:rsid w:val="006161F4"/>
    <w:rsid w:val="00625FD8"/>
    <w:rsid w:val="0063297B"/>
    <w:rsid w:val="0063560D"/>
    <w:rsid w:val="00643D94"/>
    <w:rsid w:val="00647401"/>
    <w:rsid w:val="00651231"/>
    <w:rsid w:val="00653F8F"/>
    <w:rsid w:val="006650DA"/>
    <w:rsid w:val="0069099A"/>
    <w:rsid w:val="006A11EC"/>
    <w:rsid w:val="006C39AD"/>
    <w:rsid w:val="006D7318"/>
    <w:rsid w:val="006D7F15"/>
    <w:rsid w:val="006E2ECB"/>
    <w:rsid w:val="006E4259"/>
    <w:rsid w:val="006F5C2C"/>
    <w:rsid w:val="007017DA"/>
    <w:rsid w:val="007237E5"/>
    <w:rsid w:val="00727CDF"/>
    <w:rsid w:val="007352D7"/>
    <w:rsid w:val="007353F8"/>
    <w:rsid w:val="00746F49"/>
    <w:rsid w:val="007510B3"/>
    <w:rsid w:val="007753CC"/>
    <w:rsid w:val="00783629"/>
    <w:rsid w:val="00784A2F"/>
    <w:rsid w:val="007919CF"/>
    <w:rsid w:val="00796E7C"/>
    <w:rsid w:val="007C020E"/>
    <w:rsid w:val="007E36D0"/>
    <w:rsid w:val="007E6943"/>
    <w:rsid w:val="007F507B"/>
    <w:rsid w:val="00806C0E"/>
    <w:rsid w:val="00812E4F"/>
    <w:rsid w:val="00814043"/>
    <w:rsid w:val="008166FB"/>
    <w:rsid w:val="00816D2C"/>
    <w:rsid w:val="00820287"/>
    <w:rsid w:val="008267D7"/>
    <w:rsid w:val="00842B89"/>
    <w:rsid w:val="0084510F"/>
    <w:rsid w:val="00856867"/>
    <w:rsid w:val="00865079"/>
    <w:rsid w:val="00876AD8"/>
    <w:rsid w:val="00877F4D"/>
    <w:rsid w:val="00894220"/>
    <w:rsid w:val="00896A85"/>
    <w:rsid w:val="008A48F4"/>
    <w:rsid w:val="008B0724"/>
    <w:rsid w:val="008C4F98"/>
    <w:rsid w:val="008D5DBB"/>
    <w:rsid w:val="008D7E9E"/>
    <w:rsid w:val="008F0202"/>
    <w:rsid w:val="008F29A4"/>
    <w:rsid w:val="009013D3"/>
    <w:rsid w:val="00906468"/>
    <w:rsid w:val="00907148"/>
    <w:rsid w:val="00916681"/>
    <w:rsid w:val="00920619"/>
    <w:rsid w:val="00927247"/>
    <w:rsid w:val="00930BAF"/>
    <w:rsid w:val="009354EF"/>
    <w:rsid w:val="0094015F"/>
    <w:rsid w:val="009405A6"/>
    <w:rsid w:val="00944294"/>
    <w:rsid w:val="00947632"/>
    <w:rsid w:val="00963AC3"/>
    <w:rsid w:val="00976A22"/>
    <w:rsid w:val="00983536"/>
    <w:rsid w:val="0098446D"/>
    <w:rsid w:val="0099415C"/>
    <w:rsid w:val="00997827"/>
    <w:rsid w:val="009A23C6"/>
    <w:rsid w:val="009A3E65"/>
    <w:rsid w:val="009B33FE"/>
    <w:rsid w:val="009B4772"/>
    <w:rsid w:val="009B71FC"/>
    <w:rsid w:val="009C54FF"/>
    <w:rsid w:val="009C5961"/>
    <w:rsid w:val="009D04BB"/>
    <w:rsid w:val="009D4111"/>
    <w:rsid w:val="009D6CAE"/>
    <w:rsid w:val="009E6B29"/>
    <w:rsid w:val="009F7560"/>
    <w:rsid w:val="00A06D45"/>
    <w:rsid w:val="00A16DF9"/>
    <w:rsid w:val="00A20C55"/>
    <w:rsid w:val="00A22AFA"/>
    <w:rsid w:val="00A23137"/>
    <w:rsid w:val="00A26202"/>
    <w:rsid w:val="00A26599"/>
    <w:rsid w:val="00A27C4A"/>
    <w:rsid w:val="00A351E3"/>
    <w:rsid w:val="00A40C03"/>
    <w:rsid w:val="00A47F72"/>
    <w:rsid w:val="00A60527"/>
    <w:rsid w:val="00A7106B"/>
    <w:rsid w:val="00A734F2"/>
    <w:rsid w:val="00A81BFE"/>
    <w:rsid w:val="00A85654"/>
    <w:rsid w:val="00A90550"/>
    <w:rsid w:val="00A914D3"/>
    <w:rsid w:val="00AA38F6"/>
    <w:rsid w:val="00AB4EBE"/>
    <w:rsid w:val="00AB5139"/>
    <w:rsid w:val="00AB5EEF"/>
    <w:rsid w:val="00AD1167"/>
    <w:rsid w:val="00AD1660"/>
    <w:rsid w:val="00AD52CB"/>
    <w:rsid w:val="00AD7568"/>
    <w:rsid w:val="00B04B8B"/>
    <w:rsid w:val="00B16D84"/>
    <w:rsid w:val="00B17226"/>
    <w:rsid w:val="00B227B1"/>
    <w:rsid w:val="00B31EA1"/>
    <w:rsid w:val="00B378E7"/>
    <w:rsid w:val="00B45EAA"/>
    <w:rsid w:val="00B52F2E"/>
    <w:rsid w:val="00B53B68"/>
    <w:rsid w:val="00B61E18"/>
    <w:rsid w:val="00B71764"/>
    <w:rsid w:val="00B72800"/>
    <w:rsid w:val="00B82936"/>
    <w:rsid w:val="00B84388"/>
    <w:rsid w:val="00B85245"/>
    <w:rsid w:val="00B85BC4"/>
    <w:rsid w:val="00B939D0"/>
    <w:rsid w:val="00BA47DF"/>
    <w:rsid w:val="00BB2619"/>
    <w:rsid w:val="00BB5076"/>
    <w:rsid w:val="00BC26E1"/>
    <w:rsid w:val="00BC2E9B"/>
    <w:rsid w:val="00BC4D5C"/>
    <w:rsid w:val="00BD12E2"/>
    <w:rsid w:val="00BD2A84"/>
    <w:rsid w:val="00BD74C5"/>
    <w:rsid w:val="00BD7D30"/>
    <w:rsid w:val="00BE6E73"/>
    <w:rsid w:val="00BF2C24"/>
    <w:rsid w:val="00C01A24"/>
    <w:rsid w:val="00C01BFA"/>
    <w:rsid w:val="00C119B2"/>
    <w:rsid w:val="00C36AB5"/>
    <w:rsid w:val="00C5036F"/>
    <w:rsid w:val="00C53D25"/>
    <w:rsid w:val="00C66947"/>
    <w:rsid w:val="00C71925"/>
    <w:rsid w:val="00C765C7"/>
    <w:rsid w:val="00C87271"/>
    <w:rsid w:val="00CA58E6"/>
    <w:rsid w:val="00CA77D4"/>
    <w:rsid w:val="00CB0266"/>
    <w:rsid w:val="00CB7A1F"/>
    <w:rsid w:val="00CD6D7A"/>
    <w:rsid w:val="00CE319D"/>
    <w:rsid w:val="00CF0AA5"/>
    <w:rsid w:val="00D01BAC"/>
    <w:rsid w:val="00D13E87"/>
    <w:rsid w:val="00D2263F"/>
    <w:rsid w:val="00D22A36"/>
    <w:rsid w:val="00D2316C"/>
    <w:rsid w:val="00D31BDC"/>
    <w:rsid w:val="00D35979"/>
    <w:rsid w:val="00D35AF9"/>
    <w:rsid w:val="00D42F7C"/>
    <w:rsid w:val="00D438DD"/>
    <w:rsid w:val="00D44039"/>
    <w:rsid w:val="00D53E49"/>
    <w:rsid w:val="00D53F8A"/>
    <w:rsid w:val="00D55398"/>
    <w:rsid w:val="00D6579E"/>
    <w:rsid w:val="00D658FD"/>
    <w:rsid w:val="00D8051D"/>
    <w:rsid w:val="00D82DDB"/>
    <w:rsid w:val="00D851DC"/>
    <w:rsid w:val="00D910B5"/>
    <w:rsid w:val="00D93F3F"/>
    <w:rsid w:val="00D946EF"/>
    <w:rsid w:val="00D96ABA"/>
    <w:rsid w:val="00DA2A0C"/>
    <w:rsid w:val="00DA649D"/>
    <w:rsid w:val="00DA7295"/>
    <w:rsid w:val="00DB1C4E"/>
    <w:rsid w:val="00DC2BDA"/>
    <w:rsid w:val="00DD56F6"/>
    <w:rsid w:val="00DE2503"/>
    <w:rsid w:val="00DF17A7"/>
    <w:rsid w:val="00DF1B45"/>
    <w:rsid w:val="00DF5E1F"/>
    <w:rsid w:val="00E0150F"/>
    <w:rsid w:val="00E127AB"/>
    <w:rsid w:val="00E14C37"/>
    <w:rsid w:val="00E16D4C"/>
    <w:rsid w:val="00E2690B"/>
    <w:rsid w:val="00E300C9"/>
    <w:rsid w:val="00E42520"/>
    <w:rsid w:val="00E4777A"/>
    <w:rsid w:val="00E5069A"/>
    <w:rsid w:val="00E517C5"/>
    <w:rsid w:val="00E72710"/>
    <w:rsid w:val="00E82363"/>
    <w:rsid w:val="00E86707"/>
    <w:rsid w:val="00E92687"/>
    <w:rsid w:val="00E92964"/>
    <w:rsid w:val="00E94153"/>
    <w:rsid w:val="00EB1C17"/>
    <w:rsid w:val="00EB3092"/>
    <w:rsid w:val="00EB761B"/>
    <w:rsid w:val="00EC7164"/>
    <w:rsid w:val="00ED438E"/>
    <w:rsid w:val="00ED6EBC"/>
    <w:rsid w:val="00ED7B24"/>
    <w:rsid w:val="00EE53C6"/>
    <w:rsid w:val="00EE564C"/>
    <w:rsid w:val="00EE76F5"/>
    <w:rsid w:val="00F13A7A"/>
    <w:rsid w:val="00F13E12"/>
    <w:rsid w:val="00F17BC4"/>
    <w:rsid w:val="00F43AC4"/>
    <w:rsid w:val="00F471F5"/>
    <w:rsid w:val="00F6107A"/>
    <w:rsid w:val="00F65100"/>
    <w:rsid w:val="00F65BE3"/>
    <w:rsid w:val="00F73CDB"/>
    <w:rsid w:val="00F74674"/>
    <w:rsid w:val="00F74F18"/>
    <w:rsid w:val="00F81A11"/>
    <w:rsid w:val="00F83FD2"/>
    <w:rsid w:val="00F8574A"/>
    <w:rsid w:val="00F85F3B"/>
    <w:rsid w:val="00FA1771"/>
    <w:rsid w:val="00FA6754"/>
    <w:rsid w:val="00FC269D"/>
    <w:rsid w:val="00FC310B"/>
    <w:rsid w:val="00FD0A43"/>
    <w:rsid w:val="00FD7E4C"/>
    <w:rsid w:val="00FE6DF1"/>
    <w:rsid w:val="00FF0171"/>
    <w:rsid w:val="00FF2723"/>
    <w:rsid w:val="00FF5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7FFD7805"/>
  <w15:docId w15:val="{8A5C2504-EC28-458B-8396-AF9D8F62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30BAF"/>
    <w:pPr>
      <w:suppressAutoHyphens/>
      <w:spacing w:after="0" w:line="300" w:lineRule="auto"/>
    </w:pPr>
    <w:rPr>
      <w:rFonts w:ascii="Arial" w:hAnsi="Arial"/>
      <w:sz w:val="20"/>
    </w:rPr>
  </w:style>
  <w:style w:type="paragraph" w:styleId="Heading1">
    <w:name w:val="heading 1"/>
    <w:basedOn w:val="Normal"/>
    <w:next w:val="Normal"/>
    <w:link w:val="Heading1Char"/>
    <w:uiPriority w:val="9"/>
    <w:rsid w:val="00930BAF"/>
    <w:pPr>
      <w:keepNext/>
      <w:keepLines/>
      <w:spacing w:before="24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rsid w:val="00930BAF"/>
    <w:pPr>
      <w:keepNext/>
      <w:keepLines/>
      <w:spacing w:before="4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1"/>
    <w:next w:val="Heading1"/>
    <w:link w:val="Heading3Char"/>
    <w:uiPriority w:val="9"/>
    <w:unhideWhenUsed/>
    <w:rsid w:val="00930BAF"/>
    <w:pPr>
      <w:outlineLvl w:val="2"/>
    </w:pPr>
  </w:style>
  <w:style w:type="paragraph" w:styleId="Heading4">
    <w:name w:val="heading 4"/>
    <w:basedOn w:val="Normal"/>
    <w:next w:val="Normal"/>
    <w:link w:val="Heading4Char"/>
    <w:uiPriority w:val="9"/>
    <w:semiHidden/>
    <w:unhideWhenUsed/>
    <w:rsid w:val="00930BAF"/>
    <w:pPr>
      <w:keepNext/>
      <w:keepLines/>
      <w:spacing w:before="40" w:line="240" w:lineRule="auto"/>
      <w:outlineLvl w:val="3"/>
    </w:pPr>
    <w:rPr>
      <w:rFonts w:asciiTheme="majorHAnsi" w:eastAsiaTheme="majorEastAsia" w:hAnsiTheme="majorHAnsi" w:cstheme="majorBidi"/>
      <w:i/>
      <w:iCs/>
      <w:color w:val="365F91" w:themeColor="accent1" w:themeShade="BF"/>
      <w:sz w:val="24"/>
    </w:rPr>
  </w:style>
  <w:style w:type="paragraph" w:styleId="Heading7">
    <w:name w:val="heading 7"/>
    <w:basedOn w:val="Normal"/>
    <w:next w:val="Normal"/>
    <w:link w:val="Heading7Char"/>
    <w:uiPriority w:val="9"/>
    <w:unhideWhenUsed/>
    <w:qFormat/>
    <w:rsid w:val="00930BAF"/>
    <w:pPr>
      <w:spacing w:line="480" w:lineRule="auto"/>
      <w:outlineLvl w:val="6"/>
    </w:pPr>
    <w:rPr>
      <w:color w:val="0032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930BAF"/>
    <w:pPr>
      <w:ind w:left="720"/>
      <w:contextualSpacing/>
    </w:pPr>
    <w:rPr>
      <w:rFonts w:eastAsia="Times New Roman" w:cs="Times New Roman"/>
    </w:rPr>
  </w:style>
  <w:style w:type="paragraph" w:styleId="Header">
    <w:name w:val="header"/>
    <w:aliases w:val="Header2"/>
    <w:basedOn w:val="Normal"/>
    <w:link w:val="HeaderChar"/>
    <w:uiPriority w:val="99"/>
    <w:unhideWhenUsed/>
    <w:rsid w:val="00930BAF"/>
    <w:pPr>
      <w:tabs>
        <w:tab w:val="center" w:pos="4513"/>
        <w:tab w:val="right" w:pos="9026"/>
      </w:tabs>
    </w:pPr>
  </w:style>
  <w:style w:type="character" w:customStyle="1" w:styleId="HeaderChar">
    <w:name w:val="Header Char"/>
    <w:aliases w:val="Header2 Char"/>
    <w:basedOn w:val="DefaultParagraphFont"/>
    <w:link w:val="Header"/>
    <w:uiPriority w:val="99"/>
    <w:rsid w:val="00930BAF"/>
    <w:rPr>
      <w:rFonts w:ascii="Arial" w:hAnsi="Arial"/>
      <w:sz w:val="20"/>
    </w:rPr>
  </w:style>
  <w:style w:type="paragraph" w:styleId="Footer">
    <w:name w:val="footer"/>
    <w:basedOn w:val="Normal"/>
    <w:link w:val="FooterChar"/>
    <w:uiPriority w:val="99"/>
    <w:unhideWhenUsed/>
    <w:rsid w:val="00930BAF"/>
    <w:pPr>
      <w:tabs>
        <w:tab w:val="center" w:pos="4513"/>
        <w:tab w:val="right" w:pos="9026"/>
      </w:tabs>
    </w:pPr>
    <w:rPr>
      <w:sz w:val="13"/>
    </w:rPr>
  </w:style>
  <w:style w:type="character" w:customStyle="1" w:styleId="FooterChar">
    <w:name w:val="Footer Char"/>
    <w:basedOn w:val="DefaultParagraphFont"/>
    <w:link w:val="Footer"/>
    <w:uiPriority w:val="99"/>
    <w:rsid w:val="00930BAF"/>
    <w:rPr>
      <w:rFonts w:ascii="Arial" w:hAnsi="Arial"/>
      <w:sz w:val="13"/>
    </w:rPr>
  </w:style>
  <w:style w:type="character" w:styleId="Hyperlink">
    <w:name w:val="Hyperlink"/>
    <w:basedOn w:val="DefaultParagraphFont"/>
    <w:uiPriority w:val="99"/>
    <w:unhideWhenUsed/>
    <w:rsid w:val="00930BAF"/>
    <w:rPr>
      <w:color w:val="0000FF" w:themeColor="hyperlink"/>
      <w:u w:val="single"/>
    </w:rPr>
  </w:style>
  <w:style w:type="paragraph" w:styleId="BalloonText">
    <w:name w:val="Balloon Text"/>
    <w:basedOn w:val="Normal"/>
    <w:link w:val="BalloonTextChar"/>
    <w:uiPriority w:val="99"/>
    <w:semiHidden/>
    <w:unhideWhenUsed/>
    <w:rsid w:val="00930BAF"/>
    <w:rPr>
      <w:rFonts w:ascii="Tahoma" w:hAnsi="Tahoma" w:cs="Tahoma"/>
      <w:sz w:val="16"/>
      <w:szCs w:val="16"/>
    </w:rPr>
  </w:style>
  <w:style w:type="character" w:customStyle="1" w:styleId="BalloonTextChar">
    <w:name w:val="Balloon Text Char"/>
    <w:basedOn w:val="DefaultParagraphFont"/>
    <w:link w:val="BalloonText"/>
    <w:uiPriority w:val="99"/>
    <w:semiHidden/>
    <w:rsid w:val="00930BAF"/>
    <w:rPr>
      <w:rFonts w:ascii="Tahoma" w:hAnsi="Tahoma" w:cs="Tahoma"/>
      <w:sz w:val="16"/>
      <w:szCs w:val="16"/>
    </w:rPr>
  </w:style>
  <w:style w:type="character" w:customStyle="1" w:styleId="Heading1Char">
    <w:name w:val="Heading 1 Char"/>
    <w:basedOn w:val="DefaultParagraphFont"/>
    <w:link w:val="Heading1"/>
    <w:uiPriority w:val="9"/>
    <w:rsid w:val="00930BA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30BAF"/>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930BAF"/>
    <w:pPr>
      <w:spacing w:before="120" w:after="120" w:line="240" w:lineRule="auto"/>
      <w:contextualSpacing/>
    </w:pPr>
    <w:rPr>
      <w:rFonts w:eastAsiaTheme="majorEastAsia" w:cstheme="majorBidi"/>
      <w:b/>
      <w:bCs/>
      <w:color w:val="003278"/>
      <w:spacing w:val="-10"/>
      <w:kern w:val="28"/>
      <w:sz w:val="44"/>
      <w:szCs w:val="56"/>
    </w:rPr>
  </w:style>
  <w:style w:type="character" w:customStyle="1" w:styleId="TitleChar">
    <w:name w:val="Title Char"/>
    <w:basedOn w:val="DefaultParagraphFont"/>
    <w:link w:val="Title"/>
    <w:uiPriority w:val="10"/>
    <w:rsid w:val="00930BAF"/>
    <w:rPr>
      <w:rFonts w:ascii="Arial" w:eastAsiaTheme="majorEastAsia" w:hAnsi="Arial" w:cstheme="majorBidi"/>
      <w:b/>
      <w:bCs/>
      <w:color w:val="003278"/>
      <w:spacing w:val="-10"/>
      <w:kern w:val="28"/>
      <w:sz w:val="44"/>
      <w:szCs w:val="56"/>
    </w:rPr>
  </w:style>
  <w:style w:type="paragraph" w:customStyle="1" w:styleId="Bullet">
    <w:name w:val="Bullet"/>
    <w:basedOn w:val="ListBullet"/>
    <w:next w:val="ListBullet"/>
    <w:rsid w:val="00930BAF"/>
    <w:pPr>
      <w:tabs>
        <w:tab w:val="num" w:pos="360"/>
      </w:tabs>
      <w:ind w:left="360" w:hanging="360"/>
      <w:contextualSpacing w:val="0"/>
    </w:pPr>
  </w:style>
  <w:style w:type="paragraph" w:styleId="ListBullet">
    <w:name w:val="List Bullet"/>
    <w:basedOn w:val="Normal"/>
    <w:uiPriority w:val="99"/>
    <w:semiHidden/>
    <w:unhideWhenUsed/>
    <w:rsid w:val="00930BAF"/>
    <w:pPr>
      <w:contextualSpacing/>
    </w:pPr>
  </w:style>
  <w:style w:type="character" w:styleId="PageNumber">
    <w:name w:val="page number"/>
    <w:basedOn w:val="DefaultParagraphFont"/>
    <w:uiPriority w:val="99"/>
    <w:semiHidden/>
    <w:unhideWhenUsed/>
    <w:rsid w:val="00930BAF"/>
  </w:style>
  <w:style w:type="table" w:styleId="TableGrid">
    <w:name w:val="Table Grid"/>
    <w:basedOn w:val="TableNormal"/>
    <w:uiPriority w:val="59"/>
    <w:rsid w:val="00930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rsid w:val="00930BAF"/>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930BAF"/>
    <w:rPr>
      <w:rFonts w:eastAsiaTheme="minorEastAsia"/>
      <w:lang w:val="en-US" w:eastAsia="zh-CN"/>
    </w:rPr>
  </w:style>
  <w:style w:type="table" w:customStyle="1" w:styleId="ClassicTable">
    <w:name w:val="Classic Table"/>
    <w:basedOn w:val="TableGrid"/>
    <w:qFormat/>
    <w:rsid w:val="00930BAF"/>
    <w:pPr>
      <w:spacing w:before="120" w:after="120"/>
    </w:pPr>
    <w:rPr>
      <w:rFonts w:ascii="Trebuchet MS" w:hAnsi="Trebuchet MS"/>
      <w:color w:val="BFBFBF" w:themeColor="background1" w:themeShade="BF"/>
      <w:sz w:val="18"/>
      <w:lang w:val="en-NZ"/>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Trebuchet MS" w:hAnsi="Trebuchet MS"/>
        <w:b w:val="0"/>
        <w:color w:val="7F7F7F" w:themeColor="text1" w:themeTint="80"/>
        <w:sz w:val="18"/>
      </w:rPr>
      <w:tblPr/>
      <w:tcPr>
        <w:tcBorders>
          <w:top w:val="nil"/>
          <w:left w:val="nil"/>
          <w:bottom w:val="single" w:sz="4" w:space="0" w:color="F2F2F2" w:themeColor="background1" w:themeShade="F2"/>
          <w:right w:val="nil"/>
          <w:insideH w:val="nil"/>
          <w:insideV w:val="nil"/>
          <w:tl2br w:val="nil"/>
          <w:tr2bl w:val="nil"/>
        </w:tcBorders>
      </w:tcPr>
    </w:tblStylePr>
    <w:tblStylePr w:type="band1Horz">
      <w:rPr>
        <w:rFonts w:ascii="Trebuchet MS" w:hAnsi="Trebuchet MS"/>
        <w:color w:val="BFBFBF" w:themeColor="background1" w:themeShade="BF"/>
        <w:sz w:val="18"/>
      </w:rPr>
      <w:tblPr/>
      <w:tcPr>
        <w:tcBorders>
          <w:top w:val="nil"/>
          <w:left w:val="nil"/>
          <w:bottom w:val="single" w:sz="4" w:space="0" w:color="F2F2F2" w:themeColor="background1" w:themeShade="F2"/>
          <w:right w:val="nil"/>
          <w:insideH w:val="nil"/>
          <w:insideV w:val="nil"/>
          <w:tl2br w:val="nil"/>
          <w:tr2bl w:val="nil"/>
        </w:tcBorders>
      </w:tcPr>
    </w:tblStylePr>
    <w:tblStylePr w:type="band2Horz">
      <w:rPr>
        <w:rFonts w:ascii="Trebuchet MS" w:hAnsi="Trebuchet MS"/>
        <w:color w:val="BFBFBF" w:themeColor="background1" w:themeShade="BF"/>
        <w:sz w:val="18"/>
      </w:rPr>
      <w:tblPr/>
      <w:tcPr>
        <w:tcBorders>
          <w:top w:val="nil"/>
          <w:left w:val="nil"/>
          <w:bottom w:val="single" w:sz="4" w:space="0" w:color="F2F2F2" w:themeColor="background1" w:themeShade="F2"/>
          <w:right w:val="nil"/>
          <w:insideH w:val="nil"/>
          <w:insideV w:val="nil"/>
          <w:tl2br w:val="nil"/>
          <w:tr2bl w:val="nil"/>
        </w:tcBorders>
      </w:tcPr>
    </w:tblStylePr>
  </w:style>
  <w:style w:type="paragraph" w:styleId="Date">
    <w:name w:val="Date"/>
    <w:basedOn w:val="Normal"/>
    <w:next w:val="Normal"/>
    <w:link w:val="DateChar"/>
    <w:semiHidden/>
    <w:rsid w:val="00930BAF"/>
    <w:pPr>
      <w:spacing w:line="240" w:lineRule="auto"/>
    </w:pPr>
    <w:rPr>
      <w:rFonts w:ascii="Times New Roman" w:eastAsia="Times New Roman" w:hAnsi="Times New Roman" w:cs="Times New Roman"/>
      <w:sz w:val="24"/>
      <w:lang w:val="en-US"/>
    </w:rPr>
  </w:style>
  <w:style w:type="character" w:customStyle="1" w:styleId="DateChar">
    <w:name w:val="Date Char"/>
    <w:basedOn w:val="DefaultParagraphFont"/>
    <w:link w:val="Date"/>
    <w:semiHidden/>
    <w:rsid w:val="00930BAF"/>
    <w:rPr>
      <w:rFonts w:ascii="Times New Roman" w:eastAsia="Times New Roman" w:hAnsi="Times New Roman" w:cs="Times New Roman"/>
      <w:sz w:val="24"/>
      <w:lang w:val="en-US"/>
    </w:rPr>
  </w:style>
  <w:style w:type="character" w:customStyle="1" w:styleId="Heading3Char">
    <w:name w:val="Heading 3 Char"/>
    <w:basedOn w:val="DefaultParagraphFont"/>
    <w:link w:val="Heading3"/>
    <w:uiPriority w:val="9"/>
    <w:rsid w:val="00930BAF"/>
    <w:rPr>
      <w:rFonts w:asciiTheme="majorHAnsi" w:eastAsiaTheme="majorEastAsia" w:hAnsiTheme="majorHAnsi" w:cstheme="majorBidi"/>
      <w:color w:val="365F91" w:themeColor="accent1" w:themeShade="BF"/>
      <w:sz w:val="32"/>
      <w:szCs w:val="32"/>
    </w:rPr>
  </w:style>
  <w:style w:type="paragraph" w:customStyle="1" w:styleId="PCABodyText">
    <w:name w:val="PCA Body Text"/>
    <w:qFormat/>
    <w:rsid w:val="00930BAF"/>
    <w:pPr>
      <w:suppressAutoHyphens/>
      <w:spacing w:after="0" w:line="240" w:lineRule="auto"/>
    </w:pPr>
    <w:rPr>
      <w:rFonts w:ascii="Calibri" w:hAnsi="Calibri"/>
      <w:color w:val="000000" w:themeColor="text1"/>
      <w:szCs w:val="24"/>
    </w:rPr>
  </w:style>
  <w:style w:type="paragraph" w:customStyle="1" w:styleId="PCABodyTextBullet1">
    <w:name w:val="PCA Body Text Bullet 1"/>
    <w:basedOn w:val="PCABodyText"/>
    <w:qFormat/>
    <w:rsid w:val="00930BAF"/>
    <w:pPr>
      <w:numPr>
        <w:numId w:val="2"/>
      </w:numPr>
      <w:tabs>
        <w:tab w:val="left" w:pos="714"/>
      </w:tabs>
    </w:pPr>
  </w:style>
  <w:style w:type="paragraph" w:customStyle="1" w:styleId="PCABodyTextBullet2">
    <w:name w:val="PCA Body Text Bullet 2"/>
    <w:basedOn w:val="PCABodyText"/>
    <w:qFormat/>
    <w:rsid w:val="00930BAF"/>
    <w:pPr>
      <w:numPr>
        <w:numId w:val="3"/>
      </w:numPr>
      <w:tabs>
        <w:tab w:val="left" w:pos="714"/>
      </w:tabs>
    </w:pPr>
  </w:style>
  <w:style w:type="paragraph" w:customStyle="1" w:styleId="PCAHeading1">
    <w:name w:val="PCA Heading 1"/>
    <w:qFormat/>
    <w:rsid w:val="00930BAF"/>
    <w:pPr>
      <w:suppressAutoHyphens/>
      <w:spacing w:before="120" w:after="120" w:line="240" w:lineRule="auto"/>
    </w:pPr>
    <w:rPr>
      <w:rFonts w:ascii="Calibri" w:hAnsi="Calibri"/>
      <w:b/>
      <w:color w:val="003278"/>
      <w:sz w:val="36"/>
      <w:szCs w:val="24"/>
    </w:rPr>
  </w:style>
  <w:style w:type="paragraph" w:customStyle="1" w:styleId="PCAHeading2">
    <w:name w:val="PCA Heading 2"/>
    <w:qFormat/>
    <w:rsid w:val="00930BAF"/>
    <w:pPr>
      <w:suppressAutoHyphens/>
      <w:spacing w:before="120" w:after="120" w:line="240" w:lineRule="auto"/>
    </w:pPr>
    <w:rPr>
      <w:rFonts w:ascii="Calibri" w:hAnsi="Calibri"/>
      <w:b/>
      <w:color w:val="0070C0"/>
      <w:sz w:val="28"/>
      <w:szCs w:val="24"/>
    </w:rPr>
  </w:style>
  <w:style w:type="paragraph" w:customStyle="1" w:styleId="PCAHeading3">
    <w:name w:val="PCA Heading 3"/>
    <w:qFormat/>
    <w:rsid w:val="00930BAF"/>
    <w:pPr>
      <w:suppressAutoHyphens/>
      <w:spacing w:before="120" w:after="120" w:line="240" w:lineRule="auto"/>
    </w:pPr>
    <w:rPr>
      <w:rFonts w:ascii="Calibri" w:hAnsi="Calibri"/>
      <w:b/>
      <w:color w:val="000000"/>
      <w:sz w:val="24"/>
      <w:szCs w:val="24"/>
    </w:rPr>
  </w:style>
  <w:style w:type="paragraph" w:customStyle="1" w:styleId="PCAHeading4">
    <w:name w:val="PCA Heading 4"/>
    <w:qFormat/>
    <w:rsid w:val="00930BAF"/>
    <w:pPr>
      <w:suppressAutoHyphens/>
      <w:spacing w:before="120" w:after="120" w:line="240" w:lineRule="auto"/>
    </w:pPr>
    <w:rPr>
      <w:rFonts w:ascii="Calibri" w:hAnsi="Calibri"/>
      <w:b/>
      <w:color w:val="000000"/>
      <w:szCs w:val="24"/>
    </w:rPr>
  </w:style>
  <w:style w:type="paragraph" w:customStyle="1" w:styleId="PCATableBodyText">
    <w:name w:val="PCA Table Body Text"/>
    <w:autoRedefine/>
    <w:qFormat/>
    <w:rsid w:val="00930BAF"/>
    <w:pPr>
      <w:suppressAutoHyphens/>
      <w:spacing w:after="0" w:line="300" w:lineRule="auto"/>
      <w:ind w:left="108" w:right="108"/>
    </w:pPr>
    <w:rPr>
      <w:rFonts w:ascii="Calibri" w:hAnsi="Calibri"/>
      <w:color w:val="000000" w:themeColor="text1"/>
      <w:szCs w:val="24"/>
    </w:rPr>
  </w:style>
  <w:style w:type="paragraph" w:customStyle="1" w:styleId="PCATableHeading1">
    <w:name w:val="PCA Table Heading 1"/>
    <w:autoRedefine/>
    <w:qFormat/>
    <w:rsid w:val="00930BAF"/>
    <w:pPr>
      <w:shd w:val="clear" w:color="auto" w:fill="DBE5F1"/>
      <w:suppressAutoHyphens/>
      <w:spacing w:after="0" w:line="300" w:lineRule="auto"/>
      <w:ind w:left="108" w:right="108"/>
    </w:pPr>
    <w:rPr>
      <w:rFonts w:ascii="Calibri" w:hAnsi="Calibri"/>
      <w:b/>
      <w:szCs w:val="24"/>
    </w:rPr>
  </w:style>
  <w:style w:type="paragraph" w:customStyle="1" w:styleId="PCATitle">
    <w:name w:val="PCA Title"/>
    <w:qFormat/>
    <w:rsid w:val="00930BAF"/>
    <w:pPr>
      <w:suppressAutoHyphens/>
      <w:spacing w:before="120" w:after="600" w:line="300" w:lineRule="auto"/>
    </w:pPr>
    <w:rPr>
      <w:rFonts w:ascii="Calibri" w:hAnsi="Calibri"/>
      <w:b/>
      <w:color w:val="003278"/>
      <w:sz w:val="68"/>
      <w:szCs w:val="24"/>
    </w:rPr>
  </w:style>
  <w:style w:type="character" w:customStyle="1" w:styleId="Heading4Char">
    <w:name w:val="Heading 4 Char"/>
    <w:basedOn w:val="DefaultParagraphFont"/>
    <w:link w:val="Heading4"/>
    <w:uiPriority w:val="9"/>
    <w:semiHidden/>
    <w:rsid w:val="00930BAF"/>
    <w:rPr>
      <w:rFonts w:asciiTheme="majorHAnsi" w:eastAsiaTheme="majorEastAsia" w:hAnsiTheme="majorHAnsi" w:cstheme="majorBidi"/>
      <w:i/>
      <w:iCs/>
      <w:color w:val="365F91" w:themeColor="accent1" w:themeShade="BF"/>
      <w:sz w:val="24"/>
    </w:rPr>
  </w:style>
  <w:style w:type="paragraph" w:styleId="TOCHeading">
    <w:name w:val="TOC Heading"/>
    <w:basedOn w:val="Heading1"/>
    <w:next w:val="Normal"/>
    <w:uiPriority w:val="39"/>
    <w:unhideWhenUsed/>
    <w:rsid w:val="00930BAF"/>
    <w:pPr>
      <w:spacing w:before="480" w:line="276" w:lineRule="auto"/>
      <w:outlineLvl w:val="9"/>
    </w:pPr>
    <w:rPr>
      <w:b/>
      <w:bCs/>
      <w:sz w:val="28"/>
      <w:szCs w:val="28"/>
      <w:lang w:val="en-US"/>
    </w:rPr>
  </w:style>
  <w:style w:type="paragraph" w:styleId="TOC4">
    <w:name w:val="toc 4"/>
    <w:basedOn w:val="Normal"/>
    <w:next w:val="Normal"/>
    <w:autoRedefine/>
    <w:uiPriority w:val="39"/>
    <w:semiHidden/>
    <w:unhideWhenUsed/>
    <w:rsid w:val="00930BAF"/>
    <w:pPr>
      <w:spacing w:line="240" w:lineRule="auto"/>
      <w:ind w:left="720"/>
    </w:pPr>
    <w:rPr>
      <w:rFonts w:asciiTheme="minorHAnsi" w:hAnsiTheme="minorHAnsi"/>
      <w:szCs w:val="20"/>
    </w:rPr>
  </w:style>
  <w:style w:type="paragraph" w:styleId="TOC5">
    <w:name w:val="toc 5"/>
    <w:basedOn w:val="Normal"/>
    <w:next w:val="Normal"/>
    <w:autoRedefine/>
    <w:uiPriority w:val="39"/>
    <w:semiHidden/>
    <w:unhideWhenUsed/>
    <w:rsid w:val="00930BAF"/>
    <w:pPr>
      <w:spacing w:line="240" w:lineRule="auto"/>
      <w:ind w:left="960"/>
    </w:pPr>
    <w:rPr>
      <w:rFonts w:asciiTheme="minorHAnsi" w:hAnsiTheme="minorHAnsi"/>
      <w:szCs w:val="20"/>
    </w:rPr>
  </w:style>
  <w:style w:type="paragraph" w:styleId="TOC6">
    <w:name w:val="toc 6"/>
    <w:basedOn w:val="Normal"/>
    <w:next w:val="Normal"/>
    <w:autoRedefine/>
    <w:uiPriority w:val="39"/>
    <w:semiHidden/>
    <w:unhideWhenUsed/>
    <w:rsid w:val="00930BAF"/>
    <w:pPr>
      <w:spacing w:line="240" w:lineRule="auto"/>
      <w:ind w:left="1200"/>
    </w:pPr>
    <w:rPr>
      <w:rFonts w:asciiTheme="minorHAnsi" w:hAnsiTheme="minorHAnsi"/>
      <w:szCs w:val="20"/>
    </w:rPr>
  </w:style>
  <w:style w:type="paragraph" w:styleId="TOC7">
    <w:name w:val="toc 7"/>
    <w:basedOn w:val="Normal"/>
    <w:next w:val="Normal"/>
    <w:autoRedefine/>
    <w:uiPriority w:val="39"/>
    <w:semiHidden/>
    <w:unhideWhenUsed/>
    <w:rsid w:val="00930BAF"/>
    <w:pPr>
      <w:spacing w:line="240" w:lineRule="auto"/>
      <w:ind w:left="1440"/>
    </w:pPr>
    <w:rPr>
      <w:rFonts w:asciiTheme="minorHAnsi" w:hAnsiTheme="minorHAnsi"/>
      <w:szCs w:val="20"/>
    </w:rPr>
  </w:style>
  <w:style w:type="paragraph" w:styleId="TOC8">
    <w:name w:val="toc 8"/>
    <w:basedOn w:val="Normal"/>
    <w:next w:val="Normal"/>
    <w:autoRedefine/>
    <w:uiPriority w:val="39"/>
    <w:semiHidden/>
    <w:unhideWhenUsed/>
    <w:rsid w:val="00930BAF"/>
    <w:pPr>
      <w:spacing w:line="240" w:lineRule="auto"/>
      <w:ind w:left="1680"/>
    </w:pPr>
    <w:rPr>
      <w:rFonts w:asciiTheme="minorHAnsi" w:hAnsiTheme="minorHAnsi"/>
      <w:szCs w:val="20"/>
    </w:rPr>
  </w:style>
  <w:style w:type="paragraph" w:styleId="TOC9">
    <w:name w:val="toc 9"/>
    <w:basedOn w:val="Normal"/>
    <w:next w:val="Normal"/>
    <w:autoRedefine/>
    <w:uiPriority w:val="39"/>
    <w:semiHidden/>
    <w:unhideWhenUsed/>
    <w:rsid w:val="00930BAF"/>
    <w:pPr>
      <w:spacing w:line="240" w:lineRule="auto"/>
      <w:ind w:left="1920"/>
    </w:pPr>
    <w:rPr>
      <w:rFonts w:asciiTheme="minorHAnsi" w:hAnsiTheme="minorHAnsi"/>
      <w:szCs w:val="20"/>
    </w:rPr>
  </w:style>
  <w:style w:type="paragraph" w:styleId="TOC2">
    <w:name w:val="toc 2"/>
    <w:basedOn w:val="Normal"/>
    <w:next w:val="Normal"/>
    <w:autoRedefine/>
    <w:uiPriority w:val="39"/>
    <w:unhideWhenUsed/>
    <w:rsid w:val="00930BAF"/>
    <w:pPr>
      <w:numPr>
        <w:numId w:val="20"/>
      </w:numPr>
      <w:spacing w:before="120" w:line="240" w:lineRule="auto"/>
    </w:pPr>
    <w:rPr>
      <w:rFonts w:asciiTheme="minorHAnsi" w:hAnsiTheme="minorHAnsi"/>
      <w:b/>
      <w:bCs/>
      <w:sz w:val="22"/>
    </w:rPr>
  </w:style>
  <w:style w:type="paragraph" w:styleId="TOC3">
    <w:name w:val="toc 3"/>
    <w:basedOn w:val="Normal"/>
    <w:next w:val="Normal"/>
    <w:autoRedefine/>
    <w:uiPriority w:val="39"/>
    <w:unhideWhenUsed/>
    <w:rsid w:val="00930BAF"/>
    <w:pPr>
      <w:spacing w:line="240" w:lineRule="auto"/>
      <w:ind w:left="480"/>
    </w:pPr>
    <w:rPr>
      <w:rFonts w:asciiTheme="minorHAnsi" w:hAnsiTheme="minorHAnsi"/>
      <w:szCs w:val="20"/>
    </w:rPr>
  </w:style>
  <w:style w:type="paragraph" w:customStyle="1" w:styleId="PCAFooter">
    <w:name w:val="PCA Footer"/>
    <w:qFormat/>
    <w:rsid w:val="00930BAF"/>
    <w:pPr>
      <w:suppressAutoHyphens/>
      <w:spacing w:after="0" w:line="300" w:lineRule="auto"/>
    </w:pPr>
    <w:rPr>
      <w:rFonts w:ascii="Calibri" w:hAnsi="Calibri"/>
      <w:b/>
      <w:color w:val="808080"/>
      <w:sz w:val="18"/>
      <w:szCs w:val="24"/>
    </w:rPr>
  </w:style>
  <w:style w:type="paragraph" w:customStyle="1" w:styleId="PCAHeader">
    <w:name w:val="PCA Header"/>
    <w:next w:val="PCABodyText"/>
    <w:qFormat/>
    <w:rsid w:val="00930BAF"/>
    <w:pPr>
      <w:spacing w:after="0" w:line="240" w:lineRule="auto"/>
      <w:jc w:val="right"/>
    </w:pPr>
    <w:rPr>
      <w:rFonts w:ascii="Arial" w:hAnsi="Arial"/>
      <w:noProof/>
      <w:color w:val="003278"/>
      <w:sz w:val="16"/>
      <w:szCs w:val="24"/>
      <w:lang w:val="en-US"/>
    </w:rPr>
  </w:style>
  <w:style w:type="character" w:customStyle="1" w:styleId="Heading7Char">
    <w:name w:val="Heading 7 Char"/>
    <w:basedOn w:val="DefaultParagraphFont"/>
    <w:link w:val="Heading7"/>
    <w:uiPriority w:val="9"/>
    <w:rsid w:val="00930BAF"/>
    <w:rPr>
      <w:rFonts w:ascii="Arial" w:hAnsi="Arial"/>
      <w:color w:val="003278"/>
      <w:sz w:val="24"/>
      <w:szCs w:val="24"/>
    </w:rPr>
  </w:style>
  <w:style w:type="paragraph" w:styleId="Subtitle">
    <w:name w:val="Subtitle"/>
    <w:basedOn w:val="Normal"/>
    <w:next w:val="Normal"/>
    <w:link w:val="SubtitleChar"/>
    <w:uiPriority w:val="11"/>
    <w:rsid w:val="00930BAF"/>
    <w:pPr>
      <w:spacing w:line="360" w:lineRule="auto"/>
    </w:pPr>
    <w:rPr>
      <w:color w:val="003278"/>
      <w:sz w:val="44"/>
      <w:szCs w:val="24"/>
    </w:rPr>
  </w:style>
  <w:style w:type="character" w:customStyle="1" w:styleId="SubtitleChar">
    <w:name w:val="Subtitle Char"/>
    <w:basedOn w:val="DefaultParagraphFont"/>
    <w:link w:val="Subtitle"/>
    <w:uiPriority w:val="11"/>
    <w:rsid w:val="00930BAF"/>
    <w:rPr>
      <w:rFonts w:ascii="Arial" w:hAnsi="Arial"/>
      <w:color w:val="003278"/>
      <w:sz w:val="44"/>
      <w:szCs w:val="24"/>
    </w:rPr>
  </w:style>
  <w:style w:type="paragraph" w:customStyle="1" w:styleId="PCASubtitle1">
    <w:name w:val="PCA Subtitle 1"/>
    <w:qFormat/>
    <w:rsid w:val="00C765C7"/>
    <w:pPr>
      <w:suppressAutoHyphens/>
      <w:spacing w:after="0" w:line="300" w:lineRule="auto"/>
    </w:pPr>
    <w:rPr>
      <w:rFonts w:ascii="Arial" w:hAnsi="Arial"/>
      <w:color w:val="003278"/>
      <w:sz w:val="44"/>
      <w:szCs w:val="24"/>
    </w:rPr>
  </w:style>
  <w:style w:type="paragraph" w:customStyle="1" w:styleId="PCASubtitle2">
    <w:name w:val="PCA Subtitle 2"/>
    <w:qFormat/>
    <w:rsid w:val="00C765C7"/>
    <w:pPr>
      <w:suppressAutoHyphens/>
      <w:spacing w:after="0" w:line="300" w:lineRule="auto"/>
    </w:pPr>
    <w:rPr>
      <w:rFonts w:ascii="Arial" w:hAnsi="Arial"/>
      <w:color w:val="003278"/>
      <w:sz w:val="24"/>
      <w:szCs w:val="24"/>
    </w:rPr>
  </w:style>
  <w:style w:type="paragraph" w:customStyle="1" w:styleId="PCATableBodyTextBullet1">
    <w:name w:val="PCA Table Body Text Bullet 1"/>
    <w:qFormat/>
    <w:rsid w:val="00C765C7"/>
    <w:pPr>
      <w:suppressAutoHyphens/>
      <w:spacing w:after="0" w:line="300" w:lineRule="auto"/>
      <w:ind w:left="357" w:hanging="357"/>
    </w:pPr>
    <w:rPr>
      <w:rFonts w:ascii="Arial" w:hAnsi="Arial"/>
      <w:color w:val="000000" w:themeColor="text1"/>
      <w:sz w:val="20"/>
      <w:szCs w:val="24"/>
    </w:rPr>
  </w:style>
  <w:style w:type="paragraph" w:styleId="TOC1">
    <w:name w:val="toc 1"/>
    <w:next w:val="Normal"/>
    <w:autoRedefine/>
    <w:uiPriority w:val="39"/>
    <w:unhideWhenUsed/>
    <w:rsid w:val="000F523E"/>
    <w:pPr>
      <w:keepLines/>
      <w:suppressLineNumbers/>
      <w:tabs>
        <w:tab w:val="right" w:pos="9016"/>
      </w:tabs>
      <w:suppressAutoHyphens/>
      <w:adjustRightInd w:val="0"/>
      <w:spacing w:before="120" w:after="120"/>
    </w:pPr>
    <w:rPr>
      <w:rFonts w:ascii="Arial" w:hAnsi="Arial" w:cs="Times New Roman (Body CS)"/>
      <w:bCs/>
      <w:color w:val="000000" w:themeColor="text1"/>
      <w:sz w:val="20"/>
      <w:szCs w:val="20"/>
    </w:rPr>
  </w:style>
  <w:style w:type="table" w:customStyle="1" w:styleId="PCA-TABLE-4">
    <w:name w:val="PCA-TABLE-4"/>
    <w:basedOn w:val="TableNormal"/>
    <w:uiPriority w:val="99"/>
    <w:rsid w:val="00C765C7"/>
    <w:pPr>
      <w:spacing w:before="120" w:after="120" w:line="300" w:lineRule="auto"/>
    </w:pPr>
    <w:rPr>
      <w:rFonts w:ascii="Arial" w:hAnsi="Arial"/>
      <w:color w:val="000000" w:themeColor="text1"/>
      <w:sz w:val="20"/>
      <w:szCs w:val="24"/>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pPr>
        <w:jc w:val="left"/>
      </w:pPr>
      <w:rPr>
        <w:rFonts w:ascii="Arial" w:hAnsi="Arial"/>
        <w:sz w:val="20"/>
      </w:rPr>
    </w:tblStylePr>
    <w:tblStylePr w:type="lastRow">
      <w:pPr>
        <w:suppressAutoHyphens/>
        <w:wordWrap/>
        <w:spacing w:beforeLines="0" w:before="120" w:beforeAutospacing="0" w:afterLines="0" w:after="120" w:afterAutospacing="0" w:line="300" w:lineRule="auto"/>
        <w:jc w:val="left"/>
      </w:pPr>
      <w:tblPr>
        <w:tblCellMar>
          <w:top w:w="57" w:type="dxa"/>
          <w:left w:w="108" w:type="dxa"/>
          <w:bottom w:w="57" w:type="dxa"/>
          <w:right w:w="108" w:type="dxa"/>
        </w:tblCellMa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Arial" w:hAnsi="Arial"/>
        <w:sz w:val="20"/>
      </w:rPr>
      <w:tblPr/>
      <w:tcPr>
        <w:shd w:val="clear" w:color="auto" w:fill="DBE5F1" w:themeFill="accent1" w:themeFillTint="33"/>
      </w:tcPr>
    </w:tblStylePr>
  </w:style>
  <w:style w:type="table" w:customStyle="1" w:styleId="TableGrid2">
    <w:name w:val="Table Grid2"/>
    <w:basedOn w:val="TableNormal"/>
    <w:next w:val="TableGrid"/>
    <w:uiPriority w:val="59"/>
    <w:rsid w:val="00C765C7"/>
    <w:pPr>
      <w:spacing w:after="0" w:line="240" w:lineRule="auto"/>
    </w:pPr>
    <w:rPr>
      <w:rFonts w:ascii="Trebuchet MS" w:eastAsia="Calibri" w:hAnsi="Trebuchet MS" w:cs="Times New Roman"/>
      <w:color w:val="5A5A5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PBodyTextBullet1">
    <w:name w:val="PP Body Text Bullet 1 *"/>
    <w:basedOn w:val="Normal"/>
    <w:qFormat/>
    <w:rsid w:val="00C765C7"/>
    <w:pPr>
      <w:tabs>
        <w:tab w:val="left" w:pos="714"/>
      </w:tabs>
      <w:ind w:left="357" w:hanging="357"/>
    </w:pPr>
    <w:rPr>
      <w:rFonts w:ascii="Calibri" w:hAnsi="Calibri"/>
      <w:sz w:val="22"/>
    </w:rPr>
  </w:style>
  <w:style w:type="character" w:styleId="CommentReference">
    <w:name w:val="annotation reference"/>
    <w:basedOn w:val="DefaultParagraphFont"/>
    <w:uiPriority w:val="99"/>
    <w:semiHidden/>
    <w:unhideWhenUsed/>
    <w:rsid w:val="001D2250"/>
    <w:rPr>
      <w:sz w:val="16"/>
      <w:szCs w:val="16"/>
    </w:rPr>
  </w:style>
  <w:style w:type="paragraph" w:styleId="CommentText">
    <w:name w:val="annotation text"/>
    <w:basedOn w:val="Normal"/>
    <w:link w:val="CommentTextChar"/>
    <w:uiPriority w:val="99"/>
    <w:unhideWhenUsed/>
    <w:rsid w:val="001D2250"/>
    <w:pPr>
      <w:spacing w:line="240" w:lineRule="auto"/>
    </w:pPr>
    <w:rPr>
      <w:szCs w:val="20"/>
    </w:rPr>
  </w:style>
  <w:style w:type="character" w:customStyle="1" w:styleId="CommentTextChar">
    <w:name w:val="Comment Text Char"/>
    <w:basedOn w:val="DefaultParagraphFont"/>
    <w:link w:val="CommentText"/>
    <w:uiPriority w:val="99"/>
    <w:rsid w:val="001D225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D2250"/>
    <w:rPr>
      <w:b/>
      <w:bCs/>
    </w:rPr>
  </w:style>
  <w:style w:type="character" w:customStyle="1" w:styleId="CommentSubjectChar">
    <w:name w:val="Comment Subject Char"/>
    <w:basedOn w:val="CommentTextChar"/>
    <w:link w:val="CommentSubject"/>
    <w:uiPriority w:val="99"/>
    <w:semiHidden/>
    <w:rsid w:val="001D2250"/>
    <w:rPr>
      <w:rFonts w:ascii="Arial" w:hAnsi="Arial"/>
      <w:b/>
      <w:bCs/>
      <w:sz w:val="20"/>
      <w:szCs w:val="20"/>
    </w:rPr>
  </w:style>
  <w:style w:type="paragraph" w:styleId="Revision">
    <w:name w:val="Revision"/>
    <w:hidden/>
    <w:uiPriority w:val="99"/>
    <w:semiHidden/>
    <w:rsid w:val="00FE6DF1"/>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6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ivatecapitaladviser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detteBeswick\Private%20Capital%20Advisers\PCA%20PP%20Document%20Manager%20-%20Documents\PCA%20General\Templates\PCA%20Stationery\2020%2010%20PCA-Cover+Letterhead+Second_Pag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0F6AA0D2541742B773EB903222A91B" ma:contentTypeVersion="17" ma:contentTypeDescription="Create a new document." ma:contentTypeScope="" ma:versionID="987a3966bfd03477b2a65e6c41bc2594">
  <xsd:schema xmlns:xsd="http://www.w3.org/2001/XMLSchema" xmlns:xs="http://www.w3.org/2001/XMLSchema" xmlns:p="http://schemas.microsoft.com/office/2006/metadata/properties" xmlns:ns2="0a0e2398-050d-411c-b77b-97b871c4bdb3" xmlns:ns3="d528f6cc-88ec-4f6f-ab63-7eebf27568e6" targetNamespace="http://schemas.microsoft.com/office/2006/metadata/properties" ma:root="true" ma:fieldsID="3dae34f6679d55e99ed488259f3e7a8d" ns2:_="" ns3:_="">
    <xsd:import namespace="0a0e2398-050d-411c-b77b-97b871c4bdb3"/>
    <xsd:import namespace="d528f6cc-88ec-4f6f-ab63-7eebf27568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Details" minOccurs="0"/>
                <xsd:element ref="ns3:SharedWithUsers" minOccurs="0"/>
                <xsd:element ref="ns2:_Flow_SignoffStatu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e2398-050d-411c-b77b-97b871c4b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2fe2a2-7900-4b20-bccb-c8f7207d4fb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28f6cc-88ec-4f6f-ab63-7eebf27568e6"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2" nillable="true" ma:displayName="Taxonomy Catch All Column" ma:hidden="true" ma:list="{754f1f91-d0e9-481e-9ecc-3b34f6708067}" ma:internalName="TaxCatchAll" ma:showField="CatchAllData" ma:web="d528f6cc-88ec-4f6f-ab63-7eebf27568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0e2398-050d-411c-b77b-97b871c4bdb3">
      <Terms xmlns="http://schemas.microsoft.com/office/infopath/2007/PartnerControls"/>
    </lcf76f155ced4ddcb4097134ff3c332f>
    <_Flow_SignoffStatus xmlns="0a0e2398-050d-411c-b77b-97b871c4bdb3" xsi:nil="true"/>
    <TaxCatchAll xmlns="d528f6cc-88ec-4f6f-ab63-7eebf27568e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DD7862-8B22-4A9E-BC66-7E1EB906934D}">
  <ds:schemaRefs>
    <ds:schemaRef ds:uri="http://schemas.microsoft.com/sharepoint/v3/contenttype/forms"/>
  </ds:schemaRefs>
</ds:datastoreItem>
</file>

<file path=customXml/itemProps2.xml><?xml version="1.0" encoding="utf-8"?>
<ds:datastoreItem xmlns:ds="http://schemas.openxmlformats.org/officeDocument/2006/customXml" ds:itemID="{5D16876A-3DB3-491A-8E12-F1F7A4D39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e2398-050d-411c-b77b-97b871c4bdb3"/>
    <ds:schemaRef ds:uri="d528f6cc-88ec-4f6f-ab63-7eebf2756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E9F98D-5C20-4F1D-8C7F-3EC2B81834A1}">
  <ds:schemaRefs>
    <ds:schemaRef ds:uri="http://purl.org/dc/dcmitype/"/>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d528f6cc-88ec-4f6f-ab63-7eebf27568e6"/>
    <ds:schemaRef ds:uri="0a0e2398-050d-411c-b77b-97b871c4bdb3"/>
    <ds:schemaRef ds:uri="http://purl.org/dc/elements/1.1/"/>
  </ds:schemaRefs>
</ds:datastoreItem>
</file>

<file path=customXml/itemProps4.xml><?xml version="1.0" encoding="utf-8"?>
<ds:datastoreItem xmlns:ds="http://schemas.openxmlformats.org/officeDocument/2006/customXml" ds:itemID="{C3999938-62F4-447E-AB72-72AEE639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10 PCA-Cover+Letterhead+Second_Page_Template</Template>
  <TotalTime>0</TotalTime>
  <Pages>8</Pages>
  <Words>2156</Words>
  <Characters>12295</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JVD</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Beswick</dc:creator>
  <cp:keywords/>
  <cp:lastModifiedBy>Alex O’Byrne</cp:lastModifiedBy>
  <cp:revision>2</cp:revision>
  <cp:lastPrinted>2022-06-01T05:07:00Z</cp:lastPrinted>
  <dcterms:created xsi:type="dcterms:W3CDTF">2022-06-02T02:35:00Z</dcterms:created>
  <dcterms:modified xsi:type="dcterms:W3CDTF">2022-06-02T02:35:00Z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0x010100B00F6AA0D2541742B773EB903222A91B</vt:lpwstr>
  </property>
  <property fmtid="{D5CDD505-2E9C-101B-9397-08002B2CF9AE}" pid="3" name="Order">
    <vt:r8>25019800</vt:r8>
  </property>
  <property fmtid="{D5CDD505-2E9C-101B-9397-08002B2CF9AE}" pid="4" name="Archived">
    <vt:bool>true</vt:bool>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